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FD161" w14:textId="77777777" w:rsidR="002C2B73" w:rsidRDefault="002C2B73" w:rsidP="002C2B73">
      <w:pPr>
        <w:pStyle w:val="Ttulo2"/>
        <w:jc w:val="center"/>
        <w:rPr>
          <w:rFonts w:ascii="Arial" w:hAnsi="Arial" w:cs="Arial"/>
          <w:caps/>
          <w:sz w:val="22"/>
          <w:szCs w:val="22"/>
        </w:rPr>
      </w:pPr>
    </w:p>
    <w:p w14:paraId="11219662" w14:textId="6B601383" w:rsidR="005070E3" w:rsidRPr="002C2B73" w:rsidRDefault="00BB2C41" w:rsidP="002C2B73">
      <w:pPr>
        <w:pStyle w:val="Ttulo2"/>
        <w:spacing w:line="22" w:lineRule="atLeast"/>
        <w:jc w:val="center"/>
      </w:pPr>
      <w:r w:rsidRPr="00B01617">
        <w:rPr>
          <w:rFonts w:ascii="Arial" w:hAnsi="Arial" w:cs="Arial"/>
          <w:caps/>
          <w:sz w:val="22"/>
          <w:szCs w:val="22"/>
        </w:rPr>
        <w:t>PAPER TITLE</w:t>
      </w:r>
      <w:r w:rsidR="002C2B73">
        <w:t xml:space="preserve"> </w:t>
      </w:r>
      <w:r w:rsidR="00575B8A" w:rsidRPr="00575B8A">
        <w:rPr>
          <w:rFonts w:ascii="Arial" w:hAnsi="Arial" w:cs="Arial"/>
          <w:b w:val="0"/>
          <w:bCs w:val="0"/>
          <w:caps/>
          <w:sz w:val="22"/>
          <w:szCs w:val="22"/>
        </w:rPr>
        <w:t>(</w:t>
      </w:r>
      <w:r w:rsidR="00575B8A" w:rsidRPr="00575B8A">
        <w:rPr>
          <w:b w:val="0"/>
          <w:bCs w:val="0"/>
        </w:rPr>
        <w:t>Capitali</w:t>
      </w:r>
      <w:r w:rsidR="00A80B7E">
        <w:rPr>
          <w:b w:val="0"/>
          <w:bCs w:val="0"/>
        </w:rPr>
        <w:t>z</w:t>
      </w:r>
      <w:r w:rsidR="00575B8A" w:rsidRPr="00575B8A">
        <w:rPr>
          <w:b w:val="0"/>
          <w:bCs w:val="0"/>
        </w:rPr>
        <w:t xml:space="preserve">e </w:t>
      </w:r>
      <w:r w:rsidR="00A950C3">
        <w:rPr>
          <w:b w:val="0"/>
          <w:bCs w:val="0"/>
        </w:rPr>
        <w:t>the first letter of a</w:t>
      </w:r>
      <w:r w:rsidR="00575B8A" w:rsidRPr="00575B8A">
        <w:rPr>
          <w:b w:val="0"/>
          <w:bCs w:val="0"/>
        </w:rPr>
        <w:t xml:space="preserve">ll </w:t>
      </w:r>
      <w:r w:rsidR="00A950C3">
        <w:rPr>
          <w:b w:val="0"/>
          <w:bCs w:val="0"/>
        </w:rPr>
        <w:t>major w</w:t>
      </w:r>
      <w:r w:rsidR="00575B8A" w:rsidRPr="00575B8A">
        <w:rPr>
          <w:b w:val="0"/>
          <w:bCs w:val="0"/>
        </w:rPr>
        <w:t>ords</w:t>
      </w:r>
      <w:r w:rsidR="002C2B73">
        <w:rPr>
          <w:b w:val="0"/>
          <w:bCs w:val="0"/>
        </w:rPr>
        <w:t>)</w:t>
      </w:r>
    </w:p>
    <w:p w14:paraId="5092E4AC" w14:textId="48A5E050" w:rsidR="000C6559" w:rsidRDefault="002C2B73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4766C8" wp14:editId="29BFA27A">
                <wp:simplePos x="0" y="0"/>
                <wp:positionH relativeFrom="column">
                  <wp:posOffset>76200</wp:posOffset>
                </wp:positionH>
                <wp:positionV relativeFrom="paragraph">
                  <wp:posOffset>43815</wp:posOffset>
                </wp:positionV>
                <wp:extent cx="6257925" cy="419100"/>
                <wp:effectExtent l="0" t="0" r="28575" b="19050"/>
                <wp:wrapNone/>
                <wp:docPr id="174696118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9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EA7A59" w14:textId="77777777" w:rsidR="001572D9" w:rsidRPr="00575DA6" w:rsidRDefault="001572D9" w:rsidP="001572D9">
                            <w:pPr>
                              <w:spacing w:before="240"/>
                              <w:jc w:val="both"/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575DA6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Enhancing Dam Safety Governance through Risk Assessment: A Case Study from Mosaic Brazil</w:t>
                            </w:r>
                          </w:p>
                          <w:p w14:paraId="38A50B74" w14:textId="07C28C7E" w:rsidR="006C6E71" w:rsidRPr="006C6E71" w:rsidRDefault="006C6E71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4766C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pt;margin-top:3.45pt;width:492.75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" fillcolor="white [3201]" strokeweight=".5pt">
                <v:textbox>
                  <w:txbxContent>
                    <w:p w14:paraId="42EA7A59" w14:textId="77777777" w:rsidR="001572D9" w:rsidRPr="00575DA6" w:rsidRDefault="001572D9" w:rsidP="001572D9">
                      <w:pPr>
                        <w:spacing w:before="240"/>
                        <w:jc w:val="both"/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 w:rsidRPr="00575DA6"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>Enhancing Dam Safety Governance through Risk Assessment: A Case Study from Mosaic Brazil</w:t>
                      </w:r>
                    </w:p>
                    <w:p w14:paraId="38A50B74" w14:textId="07C28C7E" w:rsidR="006C6E71" w:rsidRPr="006C6E71" w:rsidRDefault="006C6E71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BCE647D" w14:textId="77777777" w:rsidR="00A80B7E" w:rsidRDefault="00A80B7E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9FA1E8D" w14:textId="77777777" w:rsidR="00A80B7E" w:rsidRDefault="00A80B7E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DE3D439" w14:textId="77777777" w:rsidR="00A80B7E" w:rsidRDefault="00A80B7E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2E5B87BB" w14:textId="366B68F9" w:rsidR="004C0457" w:rsidRDefault="00575B8A" w:rsidP="00BB5948">
      <w:pPr>
        <w:spacing w:line="22" w:lineRule="atLeast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Relevant Topic: </w:t>
      </w:r>
      <w:r w:rsidRPr="00575B8A">
        <w:rPr>
          <w:rFonts w:ascii="Arial" w:hAnsi="Arial" w:cs="Arial"/>
          <w:bCs/>
          <w:sz w:val="22"/>
          <w:szCs w:val="22"/>
        </w:rPr>
        <w:t>(</w:t>
      </w:r>
      <w:r w:rsidR="00BD7066">
        <w:rPr>
          <w:rFonts w:ascii="Arial" w:hAnsi="Arial" w:cs="Arial"/>
          <w:bCs/>
          <w:sz w:val="22"/>
          <w:szCs w:val="22"/>
        </w:rPr>
        <w:t>Highlight Selected Topic in Bold font</w:t>
      </w:r>
      <w:r w:rsidRPr="00575B8A">
        <w:rPr>
          <w:rFonts w:ascii="Arial" w:hAnsi="Arial" w:cs="Arial"/>
          <w:bCs/>
          <w:sz w:val="22"/>
          <w:szCs w:val="22"/>
        </w:rPr>
        <w:t>)</w:t>
      </w:r>
    </w:p>
    <w:p w14:paraId="79CD64DD" w14:textId="77777777" w:rsidR="00BD7066" w:rsidRPr="00BD7066" w:rsidRDefault="00BD7066" w:rsidP="00BD7066">
      <w:pPr>
        <w:pStyle w:val="Pargrafoda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Water Planning, Water Management, and Climate Resilience</w:t>
      </w:r>
    </w:p>
    <w:p w14:paraId="3EE10147" w14:textId="58FAC461" w:rsidR="00BD7066" w:rsidRPr="001572D9" w:rsidRDefault="00BD7066" w:rsidP="00BD7066">
      <w:pPr>
        <w:pStyle w:val="Pargrafoda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</w:pPr>
      <w:r w:rsidRPr="001572D9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Dam Safety Policy and Governance</w:t>
      </w:r>
    </w:p>
    <w:p w14:paraId="1F8BC732" w14:textId="77777777" w:rsidR="00BD7066" w:rsidRPr="00BD7066" w:rsidRDefault="00BD7066" w:rsidP="00BD7066">
      <w:pPr>
        <w:pStyle w:val="Pargrafoda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Dam Construction and Rehabilitation: Innovation and Lifecycle Extension</w:t>
      </w:r>
    </w:p>
    <w:p w14:paraId="1DCD4C05" w14:textId="77777777" w:rsidR="00BD7066" w:rsidRPr="00BD7066" w:rsidRDefault="00BD7066" w:rsidP="00BD7066">
      <w:pPr>
        <w:pStyle w:val="Pargrafoda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Dam Performance Monitoring</w:t>
      </w:r>
    </w:p>
    <w:p w14:paraId="163C35D6" w14:textId="77777777" w:rsidR="00BD7066" w:rsidRPr="00BD7066" w:rsidRDefault="00BD7066" w:rsidP="00BD7066">
      <w:pPr>
        <w:pStyle w:val="Pargrafoda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Flood Resiliency in Developed and Developing Countries</w:t>
      </w:r>
    </w:p>
    <w:p w14:paraId="0C95E061" w14:textId="77777777" w:rsidR="00BD7066" w:rsidRPr="00BD7066" w:rsidRDefault="00BD7066" w:rsidP="00BD7066">
      <w:pPr>
        <w:pStyle w:val="Pargrafoda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Sedimentation Management and Reservoir Longevity</w:t>
      </w:r>
    </w:p>
    <w:p w14:paraId="615C4E96" w14:textId="77777777" w:rsidR="00BD7066" w:rsidRPr="00BD7066" w:rsidRDefault="00BD7066" w:rsidP="00BD7066">
      <w:pPr>
        <w:pStyle w:val="Pargrafoda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Fish Passage, Biodiversity &amp; Environmental Integration</w:t>
      </w:r>
    </w:p>
    <w:p w14:paraId="52260125" w14:textId="77777777" w:rsidR="00BD7066" w:rsidRPr="00BD7066" w:rsidRDefault="00BD7066" w:rsidP="00BD7066">
      <w:pPr>
        <w:pStyle w:val="PargrafodaLista"/>
        <w:numPr>
          <w:ilvl w:val="0"/>
          <w:numId w:val="39"/>
        </w:numPr>
        <w:shd w:val="clear" w:color="auto" w:fill="FFFFFF" w:themeFill="background1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Community Engagement in Dam Development</w:t>
      </w:r>
    </w:p>
    <w:p w14:paraId="3408F41C" w14:textId="77777777" w:rsidR="00BD7066" w:rsidRPr="00BD7066" w:rsidRDefault="00BD7066" w:rsidP="00BD7066">
      <w:pPr>
        <w:pStyle w:val="Pargrafoda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Tailings Dam Safety</w:t>
      </w:r>
    </w:p>
    <w:p w14:paraId="68CD70BF" w14:textId="0ACFEBA1" w:rsidR="00BD7066" w:rsidRPr="00BD7066" w:rsidRDefault="00BD7066" w:rsidP="00BD7066">
      <w:pPr>
        <w:pStyle w:val="Pargrafoda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Dam Decommissioning &amp; Removal</w:t>
      </w:r>
    </w:p>
    <w:p w14:paraId="0872E455" w14:textId="7B14A4B9" w:rsidR="000C6559" w:rsidRPr="00B01617" w:rsidRDefault="000C6559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C3F4E8D" w14:textId="5F2BD37E" w:rsidR="00A80B7E" w:rsidRPr="008D4F02" w:rsidRDefault="008D4F02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bCs/>
          <w:sz w:val="22"/>
          <w:szCs w:val="22"/>
        </w:rPr>
      </w:pPr>
      <w:r w:rsidRPr="008D4F02">
        <w:rPr>
          <w:rFonts w:ascii="Arial" w:hAnsi="Arial" w:cs="Arial"/>
          <w:b/>
          <w:bCs/>
          <w:sz w:val="22"/>
          <w:szCs w:val="22"/>
        </w:rPr>
        <w:t>AUTHORS</w:t>
      </w:r>
    </w:p>
    <w:p w14:paraId="2312FDCB" w14:textId="79FEF2B5" w:rsidR="00A80B7E" w:rsidRP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6C6E71">
        <w:rPr>
          <w:rFonts w:ascii="Arial" w:hAnsi="Arial" w:cs="Arial"/>
          <w:sz w:val="22"/>
          <w:szCs w:val="22"/>
        </w:rPr>
        <w:t>Primary</w:t>
      </w:r>
      <w:r w:rsidR="00BB2C41" w:rsidRPr="00A80B7E">
        <w:rPr>
          <w:rFonts w:ascii="Arial" w:hAnsi="Arial" w:cs="Arial"/>
          <w:sz w:val="22"/>
          <w:szCs w:val="22"/>
        </w:rPr>
        <w:t xml:space="preserve"> </w:t>
      </w:r>
      <w:r w:rsidR="00A80B7E" w:rsidRPr="00A80B7E">
        <w:rPr>
          <w:rFonts w:ascii="Arial" w:hAnsi="Arial" w:cs="Arial"/>
          <w:sz w:val="22"/>
          <w:szCs w:val="22"/>
        </w:rPr>
        <w:t xml:space="preserve">Contact </w:t>
      </w:r>
      <w:r w:rsidR="006C6E71">
        <w:rPr>
          <w:rFonts w:ascii="Arial" w:hAnsi="Arial" w:cs="Arial"/>
          <w:sz w:val="22"/>
          <w:szCs w:val="22"/>
        </w:rPr>
        <w:t xml:space="preserve">Author </w:t>
      </w:r>
      <w:r w:rsidR="00A80B7E" w:rsidRPr="00A80B7E">
        <w:rPr>
          <w:rFonts w:ascii="Arial" w:hAnsi="Arial" w:cs="Arial"/>
          <w:sz w:val="22"/>
          <w:szCs w:val="22"/>
        </w:rPr>
        <w:t>(Author Full Name, Company Affiliation/Employer, Address, Phone, email</w:t>
      </w:r>
    </w:p>
    <w:p w14:paraId="34A34681" w14:textId="23625078" w:rsidR="00A80B7E" w:rsidRDefault="002C2B73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99A2B1" wp14:editId="4123E2B0">
                <wp:simplePos x="0" y="0"/>
                <wp:positionH relativeFrom="column">
                  <wp:posOffset>76200</wp:posOffset>
                </wp:positionH>
                <wp:positionV relativeFrom="paragraph">
                  <wp:posOffset>65405</wp:posOffset>
                </wp:positionV>
                <wp:extent cx="6229350" cy="419100"/>
                <wp:effectExtent l="0" t="0" r="19050" b="19050"/>
                <wp:wrapNone/>
                <wp:docPr id="79085883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117074" w14:textId="0A617B4F" w:rsidR="002C2B73" w:rsidRPr="001572D9" w:rsidRDefault="001572D9" w:rsidP="00A80B7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1572D9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Thiago Moura de Queiroz e O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 xml:space="preserve">liveira, The Mosaic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Company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, Brazil (+55) 31 98430-9911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br/>
                              <w:t>thiago.oliveira20@mosaicco.com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9A2B1" id="Text Box 2" o:spid="_x0000_s1027" type="#_x0000_t202" style="position:absolute;left:0;text-align:left;margin-left:6pt;margin-top:5.15pt;width:490.5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" fillcolor="white [3201]" strokeweight=".5pt">
                <v:textbox>
                  <w:txbxContent>
                    <w:p w14:paraId="0C117074" w14:textId="0A617B4F" w:rsidR="002C2B73" w:rsidRPr="001572D9" w:rsidRDefault="001572D9" w:rsidP="00A80B7E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</w:pPr>
                      <w:r w:rsidRPr="001572D9"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Thiago Moura de Queiroz e O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 xml:space="preserve">liveira, The Mosaic </w:t>
                      </w:r>
                      <w:proofErr w:type="spellStart"/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Company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, Brazil (+55) 31 98430-9911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br/>
                        <w:t>thiago.oliveira20@mosaicco.com</w:t>
                      </w:r>
                    </w:p>
                  </w:txbxContent>
                </v:textbox>
              </v:shape>
            </w:pict>
          </mc:Fallback>
        </mc:AlternateContent>
      </w:r>
    </w:p>
    <w:p w14:paraId="568C4B8D" w14:textId="42596420" w:rsidR="00A80B7E" w:rsidRDefault="00A80B7E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00A7AD09" w14:textId="085A7F8F" w:rsidR="00A80B7E" w:rsidRDefault="00A80B7E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5801F045" w14:textId="77777777" w:rsidR="00B92BA2" w:rsidRDefault="003B2EAF" w:rsidP="003B2EAF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</w:p>
    <w:p w14:paraId="2B56F9CC" w14:textId="75D1E150" w:rsidR="002C2B73" w:rsidRDefault="00B92BA2" w:rsidP="003B2EAF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3B2EAF">
        <w:rPr>
          <w:rFonts w:ascii="Arial" w:hAnsi="Arial" w:cs="Arial"/>
          <w:sz w:val="22"/>
          <w:szCs w:val="22"/>
        </w:rPr>
        <w:t>Is Primary Author a Young Professional</w:t>
      </w:r>
      <w:r>
        <w:rPr>
          <w:rFonts w:ascii="Arial" w:hAnsi="Arial" w:cs="Arial"/>
          <w:sz w:val="22"/>
          <w:szCs w:val="22"/>
        </w:rPr>
        <w:t>?</w:t>
      </w:r>
      <w:r w:rsidR="003B2EAF">
        <w:rPr>
          <w:rFonts w:ascii="Arial" w:hAnsi="Arial" w:cs="Arial"/>
          <w:sz w:val="22"/>
          <w:szCs w:val="22"/>
        </w:rPr>
        <w:t xml:space="preserve"> </w:t>
      </w:r>
      <w:r w:rsidR="003B2EAF" w:rsidRPr="001572D9">
        <w:rPr>
          <w:rFonts w:ascii="Arial" w:hAnsi="Arial" w:cs="Arial"/>
          <w:b/>
          <w:bCs/>
          <w:sz w:val="22"/>
          <w:szCs w:val="22"/>
        </w:rPr>
        <w:t>YES</w:t>
      </w:r>
      <w:r w:rsidR="003B2EAF">
        <w:rPr>
          <w:rFonts w:ascii="Arial" w:hAnsi="Arial" w:cs="Arial"/>
          <w:sz w:val="22"/>
          <w:szCs w:val="22"/>
        </w:rPr>
        <w:t xml:space="preserve"> / NO (Highlight YES </w:t>
      </w:r>
      <w:r>
        <w:rPr>
          <w:rFonts w:ascii="Arial" w:hAnsi="Arial" w:cs="Arial"/>
          <w:sz w:val="22"/>
          <w:szCs w:val="22"/>
        </w:rPr>
        <w:t xml:space="preserve">in Bold font </w:t>
      </w:r>
      <w:r w:rsidR="003B2EAF">
        <w:rPr>
          <w:rFonts w:ascii="Arial" w:hAnsi="Arial" w:cs="Arial"/>
          <w:sz w:val="22"/>
          <w:szCs w:val="22"/>
        </w:rPr>
        <w:t>if under 40 years old)</w:t>
      </w:r>
    </w:p>
    <w:p w14:paraId="69A044B0" w14:textId="77777777" w:rsidR="003B2EAF" w:rsidRDefault="003B2EAF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585247E0" w14:textId="7EF8195E" w:rsidR="00A80B7E" w:rsidRP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A80B7E" w:rsidRPr="00A80B7E">
        <w:rPr>
          <w:rFonts w:ascii="Arial" w:hAnsi="Arial" w:cs="Arial"/>
          <w:sz w:val="22"/>
          <w:szCs w:val="22"/>
        </w:rPr>
        <w:t xml:space="preserve">Co-Author </w:t>
      </w:r>
      <w:r w:rsidR="006C6E71">
        <w:rPr>
          <w:rFonts w:ascii="Arial" w:hAnsi="Arial" w:cs="Arial"/>
          <w:sz w:val="22"/>
          <w:szCs w:val="22"/>
        </w:rPr>
        <w:t>Information</w:t>
      </w:r>
      <w:r w:rsidR="00A80B7E" w:rsidRPr="00A80B7E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679C4293" w14:textId="70946612" w:rsidR="00A80B7E" w:rsidRDefault="002C2B73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0344B6" wp14:editId="54010BAB">
                <wp:simplePos x="0" y="0"/>
                <wp:positionH relativeFrom="column">
                  <wp:posOffset>76200</wp:posOffset>
                </wp:positionH>
                <wp:positionV relativeFrom="paragraph">
                  <wp:posOffset>33655</wp:posOffset>
                </wp:positionV>
                <wp:extent cx="6219825" cy="419100"/>
                <wp:effectExtent l="0" t="0" r="28575" b="19050"/>
                <wp:wrapNone/>
                <wp:docPr id="26874299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BE7CF1" w14:textId="31937E0E" w:rsidR="001572D9" w:rsidRPr="001572D9" w:rsidRDefault="001572D9" w:rsidP="001572D9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Ewerton Aparecido Rodrigues,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 xml:space="preserve"> The Mosaic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Company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, Brazil (+55) 3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 xml:space="preserve"> 9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9234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6073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ewerton.rodrigues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@mosaicco.com</w:t>
                            </w:r>
                          </w:p>
                          <w:p w14:paraId="4BF444D3" w14:textId="1E0C0B78" w:rsidR="002C2B73" w:rsidRPr="001572D9" w:rsidRDefault="002C2B73" w:rsidP="002C2B7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344B6" id="_x0000_s1028" type="#_x0000_t202" style="position:absolute;left:0;text-align:left;margin-left:6pt;margin-top:2.65pt;width:489.75pt;height:3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" fillcolor="white [3201]" strokeweight=".5pt">
                <v:textbox>
                  <w:txbxContent>
                    <w:p w14:paraId="78BE7CF1" w14:textId="31937E0E" w:rsidR="001572D9" w:rsidRPr="001572D9" w:rsidRDefault="001572D9" w:rsidP="001572D9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Ewerton Aparecido Rodrigues,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 xml:space="preserve"> The Mosaic </w:t>
                      </w:r>
                      <w:proofErr w:type="spellStart"/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Company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, Brazil (+55) 3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4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 xml:space="preserve"> 9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9234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-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6073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br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ewerton.rodrigues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@mosaicco.com</w:t>
                      </w:r>
                    </w:p>
                    <w:p w14:paraId="4BF444D3" w14:textId="1E0C0B78" w:rsidR="002C2B73" w:rsidRPr="001572D9" w:rsidRDefault="002C2B73" w:rsidP="002C2B73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0B2F850" w14:textId="1A24CED9" w:rsidR="00A80B7E" w:rsidRDefault="00A80B7E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16B27A64" w14:textId="79F80972" w:rsidR="002C2B73" w:rsidRDefault="002C2B73" w:rsidP="002C2B73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</w:p>
    <w:p w14:paraId="3752FF6F" w14:textId="77777777" w:rsidR="002C2B73" w:rsidRDefault="002C2B73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1B822D27" w14:textId="7C2B055E" w:rsidR="00A80B7E" w:rsidRP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A80B7E" w:rsidRPr="00A80B7E">
        <w:rPr>
          <w:rFonts w:ascii="Arial" w:hAnsi="Arial" w:cs="Arial"/>
          <w:sz w:val="22"/>
          <w:szCs w:val="22"/>
        </w:rPr>
        <w:t xml:space="preserve">Co-Author </w:t>
      </w:r>
      <w:r w:rsidR="006C6E71">
        <w:rPr>
          <w:rFonts w:ascii="Arial" w:hAnsi="Arial" w:cs="Arial"/>
          <w:sz w:val="22"/>
          <w:szCs w:val="22"/>
        </w:rPr>
        <w:t>Information</w:t>
      </w:r>
      <w:r w:rsidR="00A80B7E" w:rsidRPr="00A80B7E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6C0ADF2C" w14:textId="743C8901" w:rsidR="00A80B7E" w:rsidRDefault="002C2B73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F09236" wp14:editId="666CEA56">
                <wp:simplePos x="0" y="0"/>
                <wp:positionH relativeFrom="column">
                  <wp:posOffset>76200</wp:posOffset>
                </wp:positionH>
                <wp:positionV relativeFrom="paragraph">
                  <wp:posOffset>68580</wp:posOffset>
                </wp:positionV>
                <wp:extent cx="6219825" cy="419100"/>
                <wp:effectExtent l="0" t="0" r="28575" b="19050"/>
                <wp:wrapNone/>
                <wp:docPr id="166979942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AD0FA2" w14:textId="13D0F32A" w:rsidR="001572D9" w:rsidRPr="001572D9" w:rsidRDefault="001572D9" w:rsidP="001572D9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Pedro Henrique Leite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 xml:space="preserve">, The Mosaic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Company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, Brazil (+55) 34 9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8822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3659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pedro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leite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@mosaicco.com</w:t>
                            </w:r>
                          </w:p>
                          <w:p w14:paraId="5A01B07A" w14:textId="2806F8B7" w:rsidR="002C2B73" w:rsidRPr="001572D9" w:rsidRDefault="002C2B73" w:rsidP="002C2B7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09236" id="_x0000_s1029" type="#_x0000_t202" style="position:absolute;left:0;text-align:left;margin-left:6pt;margin-top:5.4pt;width:489.75pt;height:3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" fillcolor="white [3201]" strokeweight=".5pt">
                <v:textbox>
                  <w:txbxContent>
                    <w:p w14:paraId="09AD0FA2" w14:textId="13D0F32A" w:rsidR="001572D9" w:rsidRPr="001572D9" w:rsidRDefault="001572D9" w:rsidP="001572D9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Pedro Henrique Leite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 xml:space="preserve">, The Mosaic </w:t>
                      </w:r>
                      <w:proofErr w:type="spellStart"/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Company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, Brazil (+55) 34 9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8822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-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3659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br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pedro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.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leite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@mosaicco.com</w:t>
                      </w:r>
                    </w:p>
                    <w:p w14:paraId="5A01B07A" w14:textId="2806F8B7" w:rsidR="002C2B73" w:rsidRPr="001572D9" w:rsidRDefault="002C2B73" w:rsidP="002C2B73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5659007" w14:textId="398E9806" w:rsidR="00880012" w:rsidRPr="00BB5948" w:rsidRDefault="00880012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56F40FBB" w14:textId="77777777" w:rsidR="002C2B73" w:rsidRDefault="002C2B73" w:rsidP="002C2B73">
      <w:pPr>
        <w:tabs>
          <w:tab w:val="left" w:pos="2340"/>
          <w:tab w:val="left" w:pos="4320"/>
          <w:tab w:val="left" w:pos="6660"/>
        </w:tabs>
        <w:spacing w:line="0" w:lineRule="atLeast"/>
        <w:rPr>
          <w:rFonts w:ascii="Arial" w:hAnsi="Arial" w:cs="Arial"/>
          <w:sz w:val="22"/>
          <w:szCs w:val="22"/>
        </w:rPr>
      </w:pPr>
    </w:p>
    <w:p w14:paraId="07F6DB49" w14:textId="77777777" w:rsidR="002C2B73" w:rsidRDefault="002C2B73" w:rsidP="002C2B73">
      <w:pPr>
        <w:tabs>
          <w:tab w:val="left" w:pos="2340"/>
          <w:tab w:val="left" w:pos="4320"/>
          <w:tab w:val="left" w:pos="6660"/>
        </w:tabs>
        <w:spacing w:line="0" w:lineRule="atLeast"/>
        <w:rPr>
          <w:rFonts w:ascii="Arial" w:hAnsi="Arial" w:cs="Arial"/>
          <w:sz w:val="22"/>
          <w:szCs w:val="22"/>
        </w:rPr>
      </w:pPr>
    </w:p>
    <w:p w14:paraId="28C4A3BE" w14:textId="7248F510" w:rsid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A80B7E" w:rsidRPr="008D4F02">
        <w:rPr>
          <w:rFonts w:ascii="Arial" w:hAnsi="Arial" w:cs="Arial"/>
          <w:sz w:val="22"/>
          <w:szCs w:val="22"/>
        </w:rPr>
        <w:t xml:space="preserve">Co-Author </w:t>
      </w:r>
      <w:r w:rsidR="006C6E71">
        <w:rPr>
          <w:rFonts w:ascii="Arial" w:hAnsi="Arial" w:cs="Arial"/>
          <w:sz w:val="22"/>
          <w:szCs w:val="22"/>
        </w:rPr>
        <w:t>Informat</w:t>
      </w:r>
      <w:r w:rsidR="003B3BDD">
        <w:rPr>
          <w:rFonts w:ascii="Arial" w:hAnsi="Arial" w:cs="Arial"/>
          <w:sz w:val="22"/>
          <w:szCs w:val="22"/>
        </w:rPr>
        <w:t>i</w:t>
      </w:r>
      <w:r w:rsidR="006C6E71">
        <w:rPr>
          <w:rFonts w:ascii="Arial" w:hAnsi="Arial" w:cs="Arial"/>
          <w:sz w:val="22"/>
          <w:szCs w:val="22"/>
        </w:rPr>
        <w:t>on</w:t>
      </w:r>
      <w:r w:rsidR="00A80B7E" w:rsidRPr="008D4F02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1A623C6F" w14:textId="6C3F9E57" w:rsidR="00E7521D" w:rsidRDefault="002C2B73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034358" wp14:editId="04333D25">
                <wp:simplePos x="0" y="0"/>
                <wp:positionH relativeFrom="column">
                  <wp:posOffset>76200</wp:posOffset>
                </wp:positionH>
                <wp:positionV relativeFrom="paragraph">
                  <wp:posOffset>84455</wp:posOffset>
                </wp:positionV>
                <wp:extent cx="6229350" cy="419100"/>
                <wp:effectExtent l="0" t="0" r="19050" b="19050"/>
                <wp:wrapNone/>
                <wp:docPr id="33321244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46EBCA" w14:textId="1C974A96" w:rsidR="001572D9" w:rsidRPr="001572D9" w:rsidRDefault="001572D9" w:rsidP="001572D9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Ricardo Luiz Teixeira Telles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 xml:space="preserve">, The Mosaic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Company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, Brazil (+55) 34 9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9988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5739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ricardo.telles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  <w:t>@mosaicco.com</w:t>
                            </w:r>
                          </w:p>
                          <w:p w14:paraId="7E418C25" w14:textId="77777777" w:rsidR="002C2B73" w:rsidRPr="001572D9" w:rsidRDefault="002C2B73" w:rsidP="002C2B7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034358" id="_x0000_s1030" type="#_x0000_t202" style="position:absolute;left:0;text-align:left;margin-left:6pt;margin-top:6.65pt;width:490.5pt;height:3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" fillcolor="white [3201]" strokeweight=".5pt">
                <v:textbox>
                  <w:txbxContent>
                    <w:p w14:paraId="6546EBCA" w14:textId="1C974A96" w:rsidR="001572D9" w:rsidRPr="001572D9" w:rsidRDefault="001572D9" w:rsidP="001572D9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Ricardo Luiz Teixeira Telles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 xml:space="preserve">, The Mosaic </w:t>
                      </w:r>
                      <w:proofErr w:type="spellStart"/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Company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, Brazil (+55) 34 9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9988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-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5739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br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ricardo.telles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  <w:t>@mosaicco.com</w:t>
                      </w:r>
                    </w:p>
                    <w:p w14:paraId="7E418C25" w14:textId="77777777" w:rsidR="002C2B73" w:rsidRPr="001572D9" w:rsidRDefault="002C2B73" w:rsidP="002C2B73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154988A" w14:textId="77777777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456CADD7" w14:textId="77777777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AC08ABC" w14:textId="77777777" w:rsidR="002C2B73" w:rsidRDefault="002C2B73" w:rsidP="008D4F0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</w:p>
    <w:p w14:paraId="18143337" w14:textId="77777777" w:rsidR="004C0341" w:rsidRDefault="004C0341" w:rsidP="00A950C3">
      <w:pPr>
        <w:tabs>
          <w:tab w:val="left" w:pos="2340"/>
          <w:tab w:val="left" w:pos="4320"/>
          <w:tab w:val="left" w:pos="6660"/>
        </w:tabs>
        <w:spacing w:line="22" w:lineRule="atLeast"/>
        <w:ind w:left="144" w:right="144"/>
        <w:rPr>
          <w:rFonts w:ascii="Arial" w:hAnsi="Arial" w:cs="Arial"/>
          <w:b/>
          <w:sz w:val="22"/>
          <w:szCs w:val="22"/>
        </w:rPr>
      </w:pPr>
    </w:p>
    <w:p w14:paraId="7555E46C" w14:textId="5FFB532C" w:rsidR="00BD7066" w:rsidRDefault="002C2B73" w:rsidP="00A950C3">
      <w:pPr>
        <w:tabs>
          <w:tab w:val="left" w:pos="2340"/>
          <w:tab w:val="left" w:pos="4320"/>
          <w:tab w:val="left" w:pos="6660"/>
        </w:tabs>
        <w:spacing w:line="22" w:lineRule="atLeast"/>
        <w:ind w:left="144" w:right="144"/>
        <w:rPr>
          <w:rFonts w:ascii="Arial" w:hAnsi="Arial" w:cs="Arial"/>
          <w:bCs/>
          <w:sz w:val="22"/>
          <w:szCs w:val="22"/>
        </w:rPr>
      </w:pPr>
      <w:r w:rsidRPr="002C2B73">
        <w:rPr>
          <w:rFonts w:ascii="Arial" w:hAnsi="Arial" w:cs="Arial"/>
          <w:b/>
          <w:sz w:val="22"/>
          <w:szCs w:val="22"/>
        </w:rPr>
        <w:t>ABSTRACT</w:t>
      </w:r>
      <w:r>
        <w:rPr>
          <w:rFonts w:ascii="Arial" w:hAnsi="Arial" w:cs="Arial"/>
          <w:bCs/>
          <w:sz w:val="22"/>
          <w:szCs w:val="22"/>
        </w:rPr>
        <w:t xml:space="preserve">: </w:t>
      </w:r>
      <w:r w:rsidR="003B2EAF">
        <w:rPr>
          <w:rFonts w:ascii="Arial" w:hAnsi="Arial" w:cs="Arial"/>
          <w:bCs/>
          <w:sz w:val="22"/>
          <w:szCs w:val="22"/>
        </w:rPr>
        <w:t>A</w:t>
      </w:r>
      <w:r w:rsidR="008D4F02" w:rsidRPr="008D4F02">
        <w:rPr>
          <w:rFonts w:ascii="Arial" w:hAnsi="Arial" w:cs="Arial"/>
          <w:bCs/>
          <w:sz w:val="22"/>
          <w:szCs w:val="22"/>
        </w:rPr>
        <w:t>bstract sh</w:t>
      </w:r>
      <w:r w:rsidR="008D4F02">
        <w:rPr>
          <w:rFonts w:ascii="Arial" w:hAnsi="Arial" w:cs="Arial"/>
          <w:bCs/>
          <w:sz w:val="22"/>
          <w:szCs w:val="22"/>
        </w:rPr>
        <w:t>all</w:t>
      </w:r>
      <w:r w:rsidR="008D4F02" w:rsidRPr="008D4F02">
        <w:rPr>
          <w:rFonts w:ascii="Arial" w:hAnsi="Arial" w:cs="Arial"/>
          <w:bCs/>
          <w:sz w:val="22"/>
          <w:szCs w:val="22"/>
        </w:rPr>
        <w:t xml:space="preserve"> be no more than 300 words and cannot include figures, tables, drawings, references, or equations. Abstracts sh</w:t>
      </w:r>
      <w:r w:rsidR="00A950C3">
        <w:rPr>
          <w:rFonts w:ascii="Arial" w:hAnsi="Arial" w:cs="Arial"/>
          <w:bCs/>
          <w:sz w:val="22"/>
          <w:szCs w:val="22"/>
        </w:rPr>
        <w:t>ould</w:t>
      </w:r>
      <w:r w:rsidR="008D4F02" w:rsidRPr="008D4F02">
        <w:rPr>
          <w:rFonts w:ascii="Arial" w:hAnsi="Arial" w:cs="Arial"/>
          <w:bCs/>
          <w:sz w:val="22"/>
          <w:szCs w:val="22"/>
        </w:rPr>
        <w:t xml:space="preserve"> provide a brief overview of the paper, highlighting relevance to the selected topic, key findings/conclusions, and significance to the industry.</w:t>
      </w:r>
      <w:r w:rsidR="00BD7066">
        <w:rPr>
          <w:rFonts w:ascii="Arial" w:hAnsi="Arial" w:cs="Arial"/>
          <w:bCs/>
          <w:sz w:val="22"/>
          <w:szCs w:val="22"/>
        </w:rPr>
        <w:t xml:space="preserve">  Provide Spanish translation of abstract </w:t>
      </w:r>
      <w:r w:rsidR="00A950C3">
        <w:rPr>
          <w:rFonts w:ascii="Arial" w:hAnsi="Arial" w:cs="Arial"/>
          <w:bCs/>
          <w:sz w:val="22"/>
          <w:szCs w:val="22"/>
        </w:rPr>
        <w:t xml:space="preserve">in the provided space </w:t>
      </w:r>
      <w:r w:rsidR="00BD7066">
        <w:rPr>
          <w:rFonts w:ascii="Arial" w:hAnsi="Arial" w:cs="Arial"/>
          <w:bCs/>
          <w:sz w:val="22"/>
          <w:szCs w:val="22"/>
        </w:rPr>
        <w:t xml:space="preserve">to aid in review and selection.  </w:t>
      </w:r>
    </w:p>
    <w:p w14:paraId="5F42186E" w14:textId="77777777" w:rsidR="00B92BA2" w:rsidRDefault="00B92BA2" w:rsidP="003B2EAF">
      <w:pPr>
        <w:ind w:left="144" w:right="144"/>
        <w:rPr>
          <w:rFonts w:ascii="Arial" w:hAnsi="Arial" w:cs="Arial"/>
          <w:bCs/>
          <w:sz w:val="22"/>
          <w:szCs w:val="22"/>
        </w:rPr>
      </w:pPr>
    </w:p>
    <w:p w14:paraId="1C8B786A" w14:textId="61178B26" w:rsidR="003B2EAF" w:rsidRPr="001572D9" w:rsidRDefault="003B2EAF" w:rsidP="003B2EAF">
      <w:pPr>
        <w:ind w:left="144" w:right="144"/>
        <w:rPr>
          <w:rFonts w:ascii="Arial" w:hAnsi="Arial" w:cs="Arial"/>
          <w:b/>
          <w:sz w:val="22"/>
          <w:szCs w:val="22"/>
        </w:rPr>
      </w:pPr>
      <w:r w:rsidRPr="001572D9">
        <w:rPr>
          <w:rFonts w:ascii="Arial" w:hAnsi="Arial" w:cs="Arial"/>
          <w:b/>
          <w:sz w:val="22"/>
          <w:szCs w:val="22"/>
        </w:rPr>
        <w:t xml:space="preserve">PUBLISHED PAPER </w:t>
      </w:r>
    </w:p>
    <w:p w14:paraId="1B6D127D" w14:textId="77777777" w:rsidR="003B2EAF" w:rsidRDefault="003B2EAF" w:rsidP="003B2EAF">
      <w:pPr>
        <w:ind w:left="144"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or </w:t>
      </w:r>
    </w:p>
    <w:p w14:paraId="74C9192A" w14:textId="2D972B83" w:rsidR="003B2EAF" w:rsidRDefault="003B2EAF" w:rsidP="003B2EAF">
      <w:pPr>
        <w:ind w:left="144"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PRESENTATION ONLY </w:t>
      </w:r>
    </w:p>
    <w:p w14:paraId="0DD9254E" w14:textId="7B5E8960" w:rsidR="00BD7066" w:rsidRDefault="003B2EAF" w:rsidP="003B2EAF">
      <w:pPr>
        <w:ind w:left="144"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Highlight </w:t>
      </w:r>
      <w:r>
        <w:rPr>
          <w:rFonts w:ascii="Arial" w:hAnsi="Arial" w:cs="Arial"/>
          <w:bCs/>
          <w:sz w:val="22"/>
          <w:szCs w:val="22"/>
        </w:rPr>
        <w:t>Choice of Published Paper or Presentation Only in Bold font</w:t>
      </w:r>
      <w:r>
        <w:rPr>
          <w:rFonts w:ascii="Arial" w:hAnsi="Arial" w:cs="Arial"/>
          <w:sz w:val="22"/>
          <w:szCs w:val="22"/>
        </w:rPr>
        <w:t>)</w:t>
      </w:r>
      <w:r w:rsidR="00BD7066">
        <w:rPr>
          <w:rFonts w:ascii="Arial" w:hAnsi="Arial" w:cs="Arial"/>
          <w:bCs/>
          <w:sz w:val="22"/>
          <w:szCs w:val="22"/>
        </w:rPr>
        <w:br w:type="page"/>
      </w:r>
    </w:p>
    <w:p w14:paraId="15EC503F" w14:textId="77777777" w:rsidR="00BD7066" w:rsidRDefault="00BD7066" w:rsidP="008D4F0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Cs/>
          <w:sz w:val="22"/>
          <w:szCs w:val="22"/>
        </w:rPr>
      </w:pPr>
    </w:p>
    <w:p w14:paraId="1D1237AE" w14:textId="7B1E8D84" w:rsidR="00BD7066" w:rsidRPr="00BD7066" w:rsidRDefault="00BD7066" w:rsidP="008D4F0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  <w:r w:rsidRPr="00BD7066">
        <w:rPr>
          <w:rFonts w:ascii="Arial" w:hAnsi="Arial" w:cs="Arial"/>
          <w:b/>
          <w:sz w:val="22"/>
          <w:szCs w:val="22"/>
        </w:rPr>
        <w:t>ENGLISH VERSION</w:t>
      </w:r>
      <w:r w:rsidR="00956DC7">
        <w:rPr>
          <w:rFonts w:ascii="Arial" w:hAnsi="Arial" w:cs="Arial"/>
          <w:b/>
          <w:sz w:val="22"/>
          <w:szCs w:val="22"/>
        </w:rPr>
        <w:t xml:space="preserve"> OF ABTRACT</w:t>
      </w:r>
      <w:r>
        <w:rPr>
          <w:rFonts w:ascii="Arial" w:hAnsi="Arial" w:cs="Arial"/>
          <w:b/>
          <w:sz w:val="22"/>
          <w:szCs w:val="22"/>
        </w:rPr>
        <w:t>:</w:t>
      </w:r>
    </w:p>
    <w:p w14:paraId="7B2902D5" w14:textId="2892D983" w:rsidR="00E7521D" w:rsidRDefault="008D4F02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1B2E3B" wp14:editId="7EDEE41C">
                <wp:simplePos x="0" y="0"/>
                <wp:positionH relativeFrom="column">
                  <wp:posOffset>9525</wp:posOffset>
                </wp:positionH>
                <wp:positionV relativeFrom="paragraph">
                  <wp:posOffset>117475</wp:posOffset>
                </wp:positionV>
                <wp:extent cx="6315075" cy="3638550"/>
                <wp:effectExtent l="0" t="0" r="28575" b="19050"/>
                <wp:wrapNone/>
                <wp:docPr id="104411171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5075" cy="3638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2929C4" w14:textId="02440B93" w:rsidR="006C6E71" w:rsidRPr="006C6E71" w:rsidRDefault="006C6E71" w:rsidP="008D4F0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7369B4D6" w14:textId="0D9EC5E7" w:rsidR="006C6E71" w:rsidRPr="006C6E71" w:rsidRDefault="001572D9" w:rsidP="008D4F0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21784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Tailings Storage Facilities (TSFs) are critical structures in mining operations, requiring robust risk management to ensure safety and environmental protection. Mosaic Brazil has developed and implemented a tailored risk assessment framework based on Failure Mode and Effects Analysis (FMEA) to evaluate TSFs across its operations. The methodology follows a four-step process: (1) identification of potential failure modes, (2) analysis of likelihood and consequences, (3) assessment of existing and potential controls, and (4) evaluation of risk using a 5x7 Risk Assessment Matrix (RAM). The framework begins by determining whether a risk is physically possible and credible, supported by traceable justification. It incorporates discussions on control confidence and failure </w:t>
                            </w:r>
                            <w:proofErr w:type="gramStart"/>
                            <w:r w:rsidRPr="00121784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</w:rPr>
                              <w:t>velocity, and</w:t>
                            </w:r>
                            <w:proofErr w:type="gramEnd"/>
                            <w:r w:rsidRPr="00121784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concludes with an ALARP (As Low As Reasonably Practicable) evaluation. Since its implementation in 2022, the tool has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</w:rPr>
                              <w:t>been f</w:t>
                            </w:r>
                            <w:r w:rsidRPr="00121784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</w:rPr>
                              <w:t>acilitated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by</w:t>
                            </w:r>
                            <w:r w:rsidRPr="00121784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multidisciplinary collaboration and integration with key documents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inside Mosaic Dam Safety Governance</w:t>
                            </w:r>
                            <w:r w:rsidRPr="00121784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such as Trigger Action Response Plans (TARPs), Design Basis Reports (DBRs), Performance Reports, and Dam Safety Reviews (DSRs). This case study highlights the practical application of the </w:t>
                            </w:r>
                            <w:proofErr w:type="gramStart"/>
                            <w:r w:rsidRPr="00121784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</w:rPr>
                              <w:t>framework</w:t>
                            </w:r>
                            <w:proofErr w:type="gramEnd"/>
                            <w:r w:rsidRPr="00121784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and the lessons learned, offering valuable insights for organizations seeking to enhance dam safety governance through structured risk assessment.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B2E3B" id="_x0000_s1031" type="#_x0000_t202" style="position:absolute;left:0;text-align:left;margin-left:.75pt;margin-top:9.25pt;width:497.25pt;height:28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" fillcolor="white [3201]" strokeweight=".5pt">
                <v:textbox>
                  <w:txbxContent>
                    <w:p w14:paraId="3A2929C4" w14:textId="02440B93" w:rsidR="006C6E71" w:rsidRPr="006C6E71" w:rsidRDefault="006C6E71" w:rsidP="008D4F0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7369B4D6" w14:textId="0D9EC5E7" w:rsidR="006C6E71" w:rsidRPr="006C6E71" w:rsidRDefault="001572D9" w:rsidP="008D4F0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21784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</w:rPr>
                        <w:t xml:space="preserve">Tailings Storage Facilities (TSFs) are critical structures in mining operations, requiring robust risk management to ensure safety and environmental protection. Mosaic Brazil has developed and implemented a tailored risk assessment framework based on Failure Mode and Effects Analysis (FMEA) to evaluate TSFs across its operations. The methodology follows a four-step process: (1) identification of potential failure modes, (2) analysis of likelihood and consequences, (3) assessment of existing and potential controls, and (4) evaluation of risk using a 5x7 Risk Assessment Matrix (RAM). The framework begins by determining whether a risk is physically possible and credible, supported by traceable justification. It incorporates discussions on control confidence and failure </w:t>
                      </w:r>
                      <w:proofErr w:type="gramStart"/>
                      <w:r w:rsidRPr="00121784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</w:rPr>
                        <w:t>velocity, and</w:t>
                      </w:r>
                      <w:proofErr w:type="gramEnd"/>
                      <w:r w:rsidRPr="00121784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</w:rPr>
                        <w:t xml:space="preserve"> concludes with an ALARP (As Low As Reasonably Practicable) evaluation. Since its implementation in 2022, the tool has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</w:rPr>
                        <w:t>been f</w:t>
                      </w:r>
                      <w:r w:rsidRPr="00121784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</w:rPr>
                        <w:t>acilitated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</w:rPr>
                        <w:t xml:space="preserve"> by</w:t>
                      </w:r>
                      <w:r w:rsidRPr="00121784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</w:rPr>
                        <w:t xml:space="preserve"> multidisciplinary collaboration and integration with key documents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</w:rPr>
                        <w:t xml:space="preserve"> inside Mosaic Dam Safety Governance</w:t>
                      </w:r>
                      <w:r w:rsidRPr="00121784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</w:rPr>
                        <w:t xml:space="preserve"> such as Trigger Action Response Plans (TARPs), Design Basis Reports (DBRs), Performance Reports, and Dam Safety Reviews (DSRs). This case study highlights the practical application of the </w:t>
                      </w:r>
                      <w:proofErr w:type="gramStart"/>
                      <w:r w:rsidRPr="00121784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</w:rPr>
                        <w:t>framework</w:t>
                      </w:r>
                      <w:proofErr w:type="gramEnd"/>
                      <w:r w:rsidRPr="00121784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</w:rPr>
                        <w:t xml:space="preserve"> and the lessons learned, offering valuable insights for organizations seeking to enhance dam safety governance through structured risk assessment.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</w:rPr>
                        <w:br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p w14:paraId="6F5EB277" w14:textId="6826BB6C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1EF180A2" w14:textId="77777777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1E09501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FC10C27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7BFBDDE6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87CC76E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171AF97B" w14:textId="538C335A" w:rsidR="004A22DA" w:rsidRDefault="00162C68" w:rsidP="00162C68">
      <w:pPr>
        <w:pStyle w:val="Textodenotaderodap"/>
        <w:spacing w:line="20" w:lineRule="atLeast"/>
        <w:jc w:val="both"/>
        <w:rPr>
          <w:rFonts w:ascii="Arial" w:hAnsi="Arial" w:cs="Arial"/>
          <w:sz w:val="20"/>
        </w:rPr>
      </w:pPr>
      <w:r w:rsidRPr="00E7521D">
        <w:rPr>
          <w:rFonts w:ascii="Arial" w:hAnsi="Arial" w:cs="Arial"/>
          <w:sz w:val="20"/>
        </w:rPr>
        <w:t xml:space="preserve"> </w:t>
      </w:r>
    </w:p>
    <w:p w14:paraId="702F915C" w14:textId="77777777" w:rsidR="008D4F02" w:rsidRPr="008D4F02" w:rsidRDefault="008D4F02" w:rsidP="008D4F02"/>
    <w:p w14:paraId="4FDC6CB7" w14:textId="77777777" w:rsidR="008D4F02" w:rsidRPr="008D4F02" w:rsidRDefault="008D4F02" w:rsidP="008D4F02"/>
    <w:p w14:paraId="79FEF206" w14:textId="77777777" w:rsidR="008D4F02" w:rsidRPr="008D4F02" w:rsidRDefault="008D4F02" w:rsidP="008D4F02"/>
    <w:p w14:paraId="0C92AED7" w14:textId="77777777" w:rsidR="008D4F02" w:rsidRPr="008D4F02" w:rsidRDefault="008D4F02" w:rsidP="008D4F02"/>
    <w:p w14:paraId="1F05D92D" w14:textId="77777777" w:rsidR="008D4F02" w:rsidRPr="008D4F02" w:rsidRDefault="008D4F02" w:rsidP="008D4F02"/>
    <w:p w14:paraId="6B1BF84D" w14:textId="77777777" w:rsidR="008D4F02" w:rsidRPr="008D4F02" w:rsidRDefault="008D4F02" w:rsidP="008D4F02"/>
    <w:p w14:paraId="5B1D9168" w14:textId="77777777" w:rsidR="008D4F02" w:rsidRPr="008D4F02" w:rsidRDefault="008D4F02" w:rsidP="008D4F02"/>
    <w:p w14:paraId="3EF6BABB" w14:textId="77777777" w:rsidR="008D4F02" w:rsidRPr="008D4F02" w:rsidRDefault="008D4F02" w:rsidP="008D4F02"/>
    <w:p w14:paraId="648F8879" w14:textId="77777777" w:rsidR="008D4F02" w:rsidRPr="008D4F02" w:rsidRDefault="008D4F02" w:rsidP="008D4F02"/>
    <w:p w14:paraId="7765C5A0" w14:textId="77777777" w:rsidR="008D4F02" w:rsidRPr="008D4F02" w:rsidRDefault="008D4F02" w:rsidP="008D4F02"/>
    <w:p w14:paraId="501131DE" w14:textId="77777777" w:rsidR="008D4F02" w:rsidRPr="008D4F02" w:rsidRDefault="008D4F02" w:rsidP="008D4F02"/>
    <w:p w14:paraId="70E14D80" w14:textId="77777777" w:rsidR="008D4F02" w:rsidRPr="008D4F02" w:rsidRDefault="008D4F02" w:rsidP="008D4F02"/>
    <w:p w14:paraId="3F1CA382" w14:textId="77777777" w:rsidR="008D4F02" w:rsidRDefault="008D4F02" w:rsidP="008D4F02">
      <w:pPr>
        <w:jc w:val="right"/>
      </w:pPr>
    </w:p>
    <w:p w14:paraId="57E25B95" w14:textId="77777777" w:rsidR="006176B1" w:rsidRDefault="006176B1" w:rsidP="008D4F02">
      <w:pPr>
        <w:jc w:val="right"/>
      </w:pPr>
    </w:p>
    <w:p w14:paraId="6C99BEC4" w14:textId="77777777" w:rsidR="00BD7066" w:rsidRDefault="00BD7066" w:rsidP="006176B1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</w:p>
    <w:p w14:paraId="57E25CEF" w14:textId="3DDCDFAB" w:rsidR="006176B1" w:rsidRDefault="006176B1" w:rsidP="006176B1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SPANISH </w:t>
      </w:r>
      <w:r w:rsidR="00BD7066">
        <w:rPr>
          <w:rFonts w:ascii="Arial" w:hAnsi="Arial" w:cs="Arial"/>
          <w:b/>
          <w:sz w:val="22"/>
          <w:szCs w:val="22"/>
        </w:rPr>
        <w:t>TRANSLATION</w:t>
      </w:r>
      <w:r w:rsidR="00956DC7">
        <w:rPr>
          <w:rFonts w:ascii="Arial" w:hAnsi="Arial" w:cs="Arial"/>
          <w:b/>
          <w:sz w:val="22"/>
          <w:szCs w:val="22"/>
        </w:rPr>
        <w:t xml:space="preserve"> OF ABSTRACT</w:t>
      </w:r>
      <w:r>
        <w:rPr>
          <w:rFonts w:ascii="Arial" w:hAnsi="Arial" w:cs="Arial"/>
          <w:bCs/>
          <w:sz w:val="22"/>
          <w:szCs w:val="22"/>
        </w:rPr>
        <w:t xml:space="preserve">: </w:t>
      </w:r>
    </w:p>
    <w:p w14:paraId="22141757" w14:textId="77777777" w:rsidR="006176B1" w:rsidRDefault="006176B1" w:rsidP="006176B1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A5935F" wp14:editId="35223FCB">
                <wp:simplePos x="0" y="0"/>
                <wp:positionH relativeFrom="column">
                  <wp:posOffset>19050</wp:posOffset>
                </wp:positionH>
                <wp:positionV relativeFrom="paragraph">
                  <wp:posOffset>118744</wp:posOffset>
                </wp:positionV>
                <wp:extent cx="6324600" cy="3762375"/>
                <wp:effectExtent l="0" t="0" r="19050" b="28575"/>
                <wp:wrapNone/>
                <wp:docPr id="157974084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3762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0185D3" w14:textId="77777777" w:rsidR="006176B1" w:rsidRPr="006C6E71" w:rsidRDefault="006176B1" w:rsidP="006176B1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6C87905B" w14:textId="77777777" w:rsidR="001572D9" w:rsidRPr="004E1FCF" w:rsidRDefault="001572D9" w:rsidP="001572D9">
                            <w:pPr>
                              <w:spacing w:before="240"/>
                              <w:jc w:val="both"/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</w:pP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Las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instalaciones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de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almacenamiento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de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relaves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(TSF, por sus siglas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en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inglés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)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son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estructuras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críticas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en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las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operaciones mineras, que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requieren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una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gestión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de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riesgos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robusta para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garantizar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la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seguridad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y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la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protección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ambiental. Mosaic Brasil </w:t>
                            </w:r>
                            <w:proofErr w:type="spellStart"/>
                            <w:proofErr w:type="gram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ha</w:t>
                            </w:r>
                            <w:proofErr w:type="spellEnd"/>
                            <w:proofErr w:type="gram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desarrollado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e implementado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un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marco de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evaluación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de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riesgos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personalizado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basado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en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el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Análisis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de Modo y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Efecto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de Falla (FMEA) para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evaluar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las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TSF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en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todas sus operaciones. La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metodología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sigue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un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proceso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de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cuatro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pasos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: (1)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identificación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de modos de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falla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potenciales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, (2)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análisis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de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la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probabilidad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y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las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consecuencias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, (3)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evaluación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de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los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controles existentes y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potenciales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, y (4)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evaluación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del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riesgo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utilizando una Matriz de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Evaluación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de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Riesgos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(RAM) de 5x7. El marco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comienza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determinando si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un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riesgo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es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físicamente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posible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y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creíble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, respaldado por una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justificación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trazable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. Se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incorporan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discusiones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sobre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el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nivel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de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confianza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en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los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controles y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la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velocidad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del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mecanismo de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falla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, y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concluye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con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una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evaluación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bajo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el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gram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principio</w:t>
                            </w:r>
                            <w:proofErr w:type="gram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ALARP (Tan Bajo Como Sea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Razonablemente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Posible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). Desde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su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implementación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en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2022,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la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herramienta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ha</w:t>
                            </w:r>
                            <w:proofErr w:type="spellEnd"/>
                            <w:proofErr w:type="gram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sido facilitada por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la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colaboración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multidisciplinaria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y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la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integración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con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documentos clave dentro de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la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gobernanza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de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seguridad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de presas de Mosaic, como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los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Planes de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Acción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y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Respuesta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ante Disparadores (TARP),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los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Informes de Bases de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Diseño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(IBD),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los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Informes de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Desempeño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y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las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Revisiones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de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Seguridad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de Presas (RSP). Este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estudio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de caso </w:t>
                            </w:r>
                            <w:proofErr w:type="gram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destaca</w:t>
                            </w:r>
                            <w:proofErr w:type="gram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la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aplicación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práctica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del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marco y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las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lecciones aprendidas,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ofreciendo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valiosas perspectivas para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organizaciones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que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buscan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fortalecer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la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gobernanza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de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seguridad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de presas mediante una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evaluación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estructurada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 xml:space="preserve"> de </w:t>
                            </w:r>
                            <w:proofErr w:type="spellStart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riesgos</w:t>
                            </w:r>
                            <w:proofErr w:type="spellEnd"/>
                            <w:r w:rsidRPr="001572D9"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.</w:t>
                            </w:r>
                          </w:p>
                          <w:p w14:paraId="7B77D9E6" w14:textId="77777777" w:rsidR="006176B1" w:rsidRPr="001572D9" w:rsidRDefault="006176B1" w:rsidP="006176B1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5935F" id="_x0000_s1032" type="#_x0000_t202" style="position:absolute;left:0;text-align:left;margin-left:1.5pt;margin-top:9.35pt;width:498pt;height:29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" fillcolor="white [3201]" strokeweight=".5pt">
                <v:textbox>
                  <w:txbxContent>
                    <w:p w14:paraId="5E0185D3" w14:textId="77777777" w:rsidR="006176B1" w:rsidRPr="006C6E71" w:rsidRDefault="006176B1" w:rsidP="006176B1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6C87905B" w14:textId="77777777" w:rsidR="001572D9" w:rsidRPr="004E1FCF" w:rsidRDefault="001572D9" w:rsidP="001572D9">
                      <w:pPr>
                        <w:spacing w:before="240"/>
                        <w:jc w:val="both"/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</w:pP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Las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instalaciones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de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almacenamiento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de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relaves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(TSF, por sus siglas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en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inglés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)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son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estructuras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críticas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en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las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operaciones mineras, que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requieren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una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gestión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de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riesgos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robusta para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garantizar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la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seguridad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y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la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protección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ambiental. Mosaic Brasil </w:t>
                      </w:r>
                      <w:proofErr w:type="spellStart"/>
                      <w:proofErr w:type="gram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ha</w:t>
                      </w:r>
                      <w:proofErr w:type="spellEnd"/>
                      <w:proofErr w:type="gram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desarrollado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e implementado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un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marco de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evaluación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de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riesgos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personalizado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basado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en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el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Análisis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de Modo y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Efecto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de Falla (FMEA) para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evaluar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las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TSF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en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todas sus operaciones. La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metodología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sigue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un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proceso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de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cuatro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pasos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: (1)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identificación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de modos de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falla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potenciales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, (2)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análisis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de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la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probabilidad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y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las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consecuencias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, (3)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evaluación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de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los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controles existentes y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potenciales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, y (4)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evaluación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del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riesgo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utilizando una Matriz de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Evaluación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de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Riesgos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(RAM) de 5x7. El marco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comienza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determinando si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un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riesgo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es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físicamente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posible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y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creíble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, respaldado por una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justificación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trazable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. Se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incorporan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discusiones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sobre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el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nivel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de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confianza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en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los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controles y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la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velocidad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del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mecanismo de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falla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, y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concluye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con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una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evaluación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bajo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el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gram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principio</w:t>
                      </w:r>
                      <w:proofErr w:type="gram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ALARP (Tan Bajo Como Sea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Razonablemente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Posible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). Desde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su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implementación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en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2022,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la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herramienta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proofErr w:type="gram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ha</w:t>
                      </w:r>
                      <w:proofErr w:type="spellEnd"/>
                      <w:proofErr w:type="gram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sido facilitada por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la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colaboración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multidisciplinaria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y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la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integración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con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documentos clave dentro de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la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gobernanza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de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seguridad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de presas de Mosaic, como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los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Planes de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Acción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y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Respuesta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ante Disparadores (TARP),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los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Informes de Bases de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Diseño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(IBD),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los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Informes de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Desempeño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y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las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Revisiones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de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Seguridad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de Presas (RSP). Este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estudio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de caso </w:t>
                      </w:r>
                      <w:proofErr w:type="gram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destaca</w:t>
                      </w:r>
                      <w:proofErr w:type="gram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la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aplicación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práctica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del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marco y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las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lecciones aprendidas,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ofreciendo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valiosas perspectivas para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organizaciones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que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buscan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fortalecer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la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gobernanza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de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seguridad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de presas mediante una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evaluación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estructurada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 xml:space="preserve"> de </w:t>
                      </w:r>
                      <w:proofErr w:type="spellStart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riesgos</w:t>
                      </w:r>
                      <w:proofErr w:type="spellEnd"/>
                      <w:r w:rsidRPr="001572D9"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  <w:lang w:val="pt-BR"/>
                        </w:rPr>
                        <w:t>.</w:t>
                      </w:r>
                    </w:p>
                    <w:p w14:paraId="7B77D9E6" w14:textId="77777777" w:rsidR="006176B1" w:rsidRPr="001572D9" w:rsidRDefault="006176B1" w:rsidP="006176B1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7D02843" w14:textId="77777777" w:rsidR="006176B1" w:rsidRDefault="006176B1" w:rsidP="006176B1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6D9D65D" w14:textId="77777777" w:rsidR="006176B1" w:rsidRPr="008D4F02" w:rsidRDefault="006176B1" w:rsidP="008D4F02">
      <w:pPr>
        <w:jc w:val="right"/>
      </w:pPr>
    </w:p>
    <w:sectPr w:rsidR="006176B1" w:rsidRPr="008D4F02" w:rsidSect="00EA6D3B">
      <w:headerReference w:type="default" r:id="rId7"/>
      <w:footerReference w:type="default" r:id="rId8"/>
      <w:type w:val="continuous"/>
      <w:pgSz w:w="11909" w:h="16834" w:code="9"/>
      <w:pgMar w:top="720" w:right="720" w:bottom="115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B4FBD" w14:textId="77777777" w:rsidR="007E2A0E" w:rsidRDefault="007E2A0E">
      <w:r>
        <w:separator/>
      </w:r>
    </w:p>
  </w:endnote>
  <w:endnote w:type="continuationSeparator" w:id="0">
    <w:p w14:paraId="3009B97D" w14:textId="77777777" w:rsidR="007E2A0E" w:rsidRDefault="007E2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BBB5B" w14:textId="360F400A" w:rsidR="00C00A95" w:rsidRPr="00567977" w:rsidRDefault="00413342" w:rsidP="00413342">
    <w:pPr>
      <w:pStyle w:val="Rodap"/>
      <w:rPr>
        <w:rFonts w:ascii="Arial" w:hAnsi="Arial" w:cs="Arial"/>
        <w:sz w:val="22"/>
        <w:szCs w:val="22"/>
      </w:rPr>
    </w:pPr>
    <w:r w:rsidRPr="00413342"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1D25DEB" wp14:editId="104EA85B">
              <wp:simplePos x="0" y="0"/>
              <wp:positionH relativeFrom="column">
                <wp:posOffset>1561465</wp:posOffset>
              </wp:positionH>
              <wp:positionV relativeFrom="paragraph">
                <wp:posOffset>5715</wp:posOffset>
              </wp:positionV>
              <wp:extent cx="3248025" cy="266700"/>
              <wp:effectExtent l="0" t="0" r="28575" b="190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48025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B74662" w14:textId="35D8EFFB" w:rsidR="00413342" w:rsidRPr="001572D9" w:rsidRDefault="001572D9">
                          <w:pPr>
                            <w:rPr>
                              <w:rFonts w:ascii="Arial" w:hAnsi="Arial" w:cs="Arial"/>
                              <w:sz w:val="22"/>
                              <w:szCs w:val="22"/>
                              <w:lang w:val="pt-BR"/>
                            </w:rPr>
                          </w:pPr>
                          <w:r w:rsidRPr="001572D9">
                            <w:rPr>
                              <w:rFonts w:ascii="Arial" w:hAnsi="Arial" w:cs="Arial"/>
                              <w:sz w:val="22"/>
                              <w:szCs w:val="22"/>
                              <w:lang w:val="pt-BR"/>
                            </w:rPr>
                            <w:t>Thiago Moura de Queiroz e O</w: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  <w:lang w:val="pt-BR"/>
                            </w:rPr>
                            <w:t>liveira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D25DEB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122.95pt;margin-top:.45pt;width:255.7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">
              <v:textbox>
                <w:txbxContent>
                  <w:p w14:paraId="79B74662" w14:textId="35D8EFFB" w:rsidR="00413342" w:rsidRPr="001572D9" w:rsidRDefault="001572D9">
                    <w:pPr>
                      <w:rPr>
                        <w:rFonts w:ascii="Arial" w:hAnsi="Arial" w:cs="Arial"/>
                        <w:sz w:val="22"/>
                        <w:szCs w:val="22"/>
                        <w:lang w:val="pt-BR"/>
                      </w:rPr>
                    </w:pPr>
                    <w:r w:rsidRPr="001572D9">
                      <w:rPr>
                        <w:rFonts w:ascii="Arial" w:hAnsi="Arial" w:cs="Arial"/>
                        <w:sz w:val="22"/>
                        <w:szCs w:val="22"/>
                        <w:lang w:val="pt-BR"/>
                      </w:rPr>
                      <w:t>Thiago Moura de Queiroz e O</w:t>
                    </w:r>
                    <w:r>
                      <w:rPr>
                        <w:rFonts w:ascii="Arial" w:hAnsi="Arial" w:cs="Arial"/>
                        <w:sz w:val="22"/>
                        <w:szCs w:val="22"/>
                        <w:lang w:val="pt-BR"/>
                      </w:rPr>
                      <w:t>liveira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Arial" w:hAnsi="Arial" w:cs="Arial"/>
        <w:sz w:val="22"/>
        <w:szCs w:val="22"/>
      </w:rPr>
      <w:t>Primary Author Name:</w:t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  <w:t xml:space="preserve">Page </w:t>
    </w:r>
    <w:r w:rsidRPr="00413342">
      <w:rPr>
        <w:rFonts w:ascii="Arial" w:hAnsi="Arial" w:cs="Arial"/>
        <w:sz w:val="22"/>
        <w:szCs w:val="22"/>
      </w:rPr>
      <w:fldChar w:fldCharType="begin"/>
    </w:r>
    <w:r w:rsidRPr="00413342">
      <w:rPr>
        <w:rFonts w:ascii="Arial" w:hAnsi="Arial" w:cs="Arial"/>
        <w:sz w:val="22"/>
        <w:szCs w:val="22"/>
      </w:rPr>
      <w:instrText xml:space="preserve"> PAGE   \* MERGEFORMAT </w:instrText>
    </w:r>
    <w:r w:rsidRPr="00413342">
      <w:rPr>
        <w:rFonts w:ascii="Arial" w:hAnsi="Arial" w:cs="Arial"/>
        <w:sz w:val="22"/>
        <w:szCs w:val="22"/>
      </w:rPr>
      <w:fldChar w:fldCharType="separate"/>
    </w:r>
    <w:r w:rsidRPr="00413342">
      <w:rPr>
        <w:rFonts w:ascii="Arial" w:hAnsi="Arial" w:cs="Arial"/>
        <w:noProof/>
        <w:sz w:val="22"/>
        <w:szCs w:val="22"/>
      </w:rPr>
      <w:t>1</w:t>
    </w:r>
    <w:r w:rsidRPr="00413342">
      <w:rPr>
        <w:rFonts w:ascii="Arial" w:hAnsi="Arial" w:cs="Arial"/>
        <w:noProof/>
        <w:sz w:val="22"/>
        <w:szCs w:val="22"/>
      </w:rPr>
      <w:fldChar w:fldCharType="end"/>
    </w:r>
    <w:r>
      <w:rPr>
        <w:rFonts w:ascii="Arial" w:hAnsi="Arial" w:cs="Arial"/>
        <w:sz w:val="22"/>
        <w:szCs w:val="22"/>
      </w:rPr>
      <w:t xml:space="preserve">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25727" w14:textId="77777777" w:rsidR="007E2A0E" w:rsidRDefault="007E2A0E">
      <w:r>
        <w:separator/>
      </w:r>
    </w:p>
  </w:footnote>
  <w:footnote w:type="continuationSeparator" w:id="0">
    <w:p w14:paraId="3EDA6710" w14:textId="77777777" w:rsidR="007E2A0E" w:rsidRDefault="007E2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B92CA" w14:textId="1AF14018" w:rsidR="00BD7066" w:rsidRPr="00413342" w:rsidRDefault="00A80B7E" w:rsidP="008D4F02">
    <w:pPr>
      <w:pStyle w:val="Cabealho"/>
      <w:jc w:val="center"/>
      <w:rPr>
        <w:rFonts w:ascii="Calibri" w:hAnsi="Calibri" w:cs="Calibri"/>
        <w:b/>
        <w:bCs/>
        <w:sz w:val="28"/>
        <w:szCs w:val="28"/>
      </w:rPr>
    </w:pPr>
    <w:r w:rsidRPr="00413342">
      <w:rPr>
        <w:rFonts w:ascii="Calibri" w:hAnsi="Calibri" w:cs="Calibri"/>
        <w:b/>
        <w:bCs/>
        <w:sz w:val="28"/>
        <w:szCs w:val="28"/>
      </w:rPr>
      <w:t>ICOLD2026 Guadalajara, Mexico</w:t>
    </w:r>
    <w:r w:rsidR="00BD7066" w:rsidRPr="00413342">
      <w:rPr>
        <w:rFonts w:ascii="Calibri" w:hAnsi="Calibri" w:cs="Calibri"/>
        <w:b/>
        <w:bCs/>
        <w:sz w:val="28"/>
        <w:szCs w:val="28"/>
      </w:rPr>
      <w:t>, International Symposium</w:t>
    </w:r>
  </w:p>
  <w:p w14:paraId="00559928" w14:textId="5B6DA770" w:rsidR="00A80B7E" w:rsidRPr="003B6E47" w:rsidRDefault="00BD7066" w:rsidP="00BD7066">
    <w:pPr>
      <w:pStyle w:val="Cabealho"/>
      <w:rPr>
        <w:rFonts w:ascii="Calibri" w:hAnsi="Calibri" w:cs="Calibri"/>
        <w:b/>
        <w:bCs/>
      </w:rPr>
    </w:pPr>
    <w:r w:rsidRPr="008744F9">
      <w:rPr>
        <w:rFonts w:ascii="Calibri" w:hAnsi="Calibri" w:cs="Calibri"/>
        <w:b/>
        <w:bCs/>
        <w:color w:val="022445"/>
        <w:sz w:val="28"/>
        <w:szCs w:val="28"/>
      </w:rPr>
      <w:t>Theme</w:t>
    </w:r>
    <w:r>
      <w:rPr>
        <w:rFonts w:ascii="Calibri" w:hAnsi="Calibri" w:cs="Calibri"/>
        <w:b/>
        <w:bCs/>
        <w:color w:val="022445"/>
        <w:sz w:val="28"/>
        <w:szCs w:val="28"/>
      </w:rPr>
      <w:t xml:space="preserve"> </w:t>
    </w:r>
    <w:r w:rsidRPr="008744F9">
      <w:rPr>
        <w:rFonts w:ascii="Calibri" w:hAnsi="Calibri" w:cs="Calibri"/>
        <w:b/>
        <w:bCs/>
        <w:color w:val="022445"/>
        <w:sz w:val="28"/>
        <w:szCs w:val="28"/>
      </w:rPr>
      <w:t>|</w:t>
    </w:r>
    <w:r>
      <w:rPr>
        <w:rFonts w:ascii="Calibri" w:hAnsi="Calibri" w:cs="Calibri"/>
        <w:b/>
        <w:bCs/>
        <w:color w:val="022445"/>
        <w:sz w:val="28"/>
        <w:szCs w:val="28"/>
      </w:rPr>
      <w:t xml:space="preserve"> </w:t>
    </w:r>
    <w:r w:rsidRPr="008744F9">
      <w:rPr>
        <w:rFonts w:ascii="Calibri" w:hAnsi="Calibri" w:cs="Calibri"/>
        <w:b/>
        <w:bCs/>
        <w:color w:val="022445"/>
        <w:sz w:val="28"/>
        <w:szCs w:val="28"/>
      </w:rPr>
      <w:t>Water, Energy, and Society: The Evolving Role of Dams in a Changing World</w:t>
    </w:r>
    <w:r w:rsidR="00A80B7E" w:rsidRPr="003B6E47">
      <w:rPr>
        <w:rFonts w:ascii="Calibri" w:hAnsi="Calibri" w:cs="Calibri"/>
        <w:b/>
        <w:bCs/>
      </w:rPr>
      <w:t xml:space="preserve"> </w:t>
    </w:r>
  </w:p>
  <w:p w14:paraId="48D80160" w14:textId="0D7944EB" w:rsidR="00BB2C41" w:rsidRPr="00BB2C41" w:rsidRDefault="00BB2C41" w:rsidP="00BB2C41">
    <w:pPr>
      <w:pStyle w:val="Cabealho"/>
      <w:jc w:val="center"/>
      <w:rPr>
        <w:rFonts w:ascii="Calibri" w:hAnsi="Calibri" w:cs="Calibri"/>
      </w:rPr>
    </w:pPr>
    <w:r w:rsidRPr="003B6E47">
      <w:rPr>
        <w:rFonts w:ascii="Calibri" w:hAnsi="Calibri" w:cs="Calibri"/>
        <w:b/>
        <w:bCs/>
      </w:rPr>
      <w:t>ABSTRACT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F1E4710"/>
    <w:lvl w:ilvl="0">
      <w:numFmt w:val="bullet"/>
      <w:lvlText w:val="*"/>
      <w:lvlJc w:val="left"/>
    </w:lvl>
  </w:abstractNum>
  <w:abstractNum w:abstractNumId="1" w15:restartNumberingAfterBreak="0">
    <w:nsid w:val="004A4572"/>
    <w:multiLevelType w:val="hybridMultilevel"/>
    <w:tmpl w:val="F1468F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059F4"/>
    <w:multiLevelType w:val="hybridMultilevel"/>
    <w:tmpl w:val="8BA4B3F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A0E1B"/>
    <w:multiLevelType w:val="multilevel"/>
    <w:tmpl w:val="2A5431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D41592"/>
    <w:multiLevelType w:val="hybridMultilevel"/>
    <w:tmpl w:val="66A6761C"/>
    <w:lvl w:ilvl="0" w:tplc="DF1E4710">
      <w:numFmt w:val="upperLetter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640C97"/>
    <w:multiLevelType w:val="multilevel"/>
    <w:tmpl w:val="566006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397D4E"/>
    <w:multiLevelType w:val="multilevel"/>
    <w:tmpl w:val="BB82F59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965832"/>
    <w:multiLevelType w:val="hybridMultilevel"/>
    <w:tmpl w:val="F484F46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B39D5"/>
    <w:multiLevelType w:val="hybridMultilevel"/>
    <w:tmpl w:val="D72ADD44"/>
    <w:lvl w:ilvl="0" w:tplc="54D6F5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E14B98"/>
    <w:multiLevelType w:val="hybridMultilevel"/>
    <w:tmpl w:val="9CAAC6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C326B7"/>
    <w:multiLevelType w:val="hybridMultilevel"/>
    <w:tmpl w:val="27F2FB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527DD"/>
    <w:multiLevelType w:val="hybridMultilevel"/>
    <w:tmpl w:val="D944848A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51E1ECF"/>
    <w:multiLevelType w:val="hybridMultilevel"/>
    <w:tmpl w:val="1FDECE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357B2"/>
    <w:multiLevelType w:val="hybridMultilevel"/>
    <w:tmpl w:val="21483D3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90605"/>
    <w:multiLevelType w:val="hybridMultilevel"/>
    <w:tmpl w:val="2A5431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6A6CC0"/>
    <w:multiLevelType w:val="hybridMultilevel"/>
    <w:tmpl w:val="DA60363E"/>
    <w:lvl w:ilvl="0" w:tplc="9CF29F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BA2AC0"/>
    <w:multiLevelType w:val="hybridMultilevel"/>
    <w:tmpl w:val="F8F67DDC"/>
    <w:lvl w:ilvl="0" w:tplc="040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E402D6"/>
    <w:multiLevelType w:val="multilevel"/>
    <w:tmpl w:val="C1348A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D733FF"/>
    <w:multiLevelType w:val="hybridMultilevel"/>
    <w:tmpl w:val="DDBAAD6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3A1AFC"/>
    <w:multiLevelType w:val="hybridMultilevel"/>
    <w:tmpl w:val="F99A357C"/>
    <w:lvl w:ilvl="0" w:tplc="DF1E4710">
      <w:numFmt w:val="upperLetter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6C2F8E"/>
    <w:multiLevelType w:val="multilevel"/>
    <w:tmpl w:val="1676234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DDA593D"/>
    <w:multiLevelType w:val="multilevel"/>
    <w:tmpl w:val="DA6036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B94D4F"/>
    <w:multiLevelType w:val="hybridMultilevel"/>
    <w:tmpl w:val="281E4C9A"/>
    <w:lvl w:ilvl="0" w:tplc="24F2B8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BA6C06"/>
    <w:multiLevelType w:val="hybridMultilevel"/>
    <w:tmpl w:val="F7F63BC6"/>
    <w:lvl w:ilvl="0" w:tplc="913A0BB6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C92DFE"/>
    <w:multiLevelType w:val="hybridMultilevel"/>
    <w:tmpl w:val="291A4CC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8E0F7D"/>
    <w:multiLevelType w:val="hybridMultilevel"/>
    <w:tmpl w:val="A96871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192EE4"/>
    <w:multiLevelType w:val="hybridMultilevel"/>
    <w:tmpl w:val="566006D6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D6B2D52"/>
    <w:multiLevelType w:val="hybridMultilevel"/>
    <w:tmpl w:val="C1348A8C"/>
    <w:lvl w:ilvl="0" w:tplc="62FE48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D20E33"/>
    <w:multiLevelType w:val="hybridMultilevel"/>
    <w:tmpl w:val="F2AEA0D0"/>
    <w:lvl w:ilvl="0" w:tplc="536257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881619F"/>
    <w:multiLevelType w:val="hybridMultilevel"/>
    <w:tmpl w:val="40A4330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8D05417"/>
    <w:multiLevelType w:val="hybridMultilevel"/>
    <w:tmpl w:val="70C0FC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E4F1F"/>
    <w:multiLevelType w:val="hybridMultilevel"/>
    <w:tmpl w:val="47CE1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A22C4C"/>
    <w:multiLevelType w:val="multilevel"/>
    <w:tmpl w:val="F99A357C"/>
    <w:lvl w:ilvl="0">
      <w:numFmt w:val="upperLetter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2A43E8"/>
    <w:multiLevelType w:val="multilevel"/>
    <w:tmpl w:val="F2AEA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B63D11"/>
    <w:multiLevelType w:val="hybridMultilevel"/>
    <w:tmpl w:val="D29A19B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06BFC"/>
    <w:multiLevelType w:val="hybridMultilevel"/>
    <w:tmpl w:val="E04A194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A64BF1"/>
    <w:multiLevelType w:val="hybridMultilevel"/>
    <w:tmpl w:val="1676234C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EEF76A7"/>
    <w:multiLevelType w:val="hybridMultilevel"/>
    <w:tmpl w:val="9C1C434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773DC1"/>
    <w:multiLevelType w:val="hybridMultilevel"/>
    <w:tmpl w:val="9EE4FA9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1192369">
    <w:abstractNumId w:val="12"/>
  </w:num>
  <w:num w:numId="2" w16cid:durableId="1144784175">
    <w:abstractNumId w:val="35"/>
  </w:num>
  <w:num w:numId="3" w16cid:durableId="289870454">
    <w:abstractNumId w:val="9"/>
  </w:num>
  <w:num w:numId="4" w16cid:durableId="1624579764">
    <w:abstractNumId w:val="18"/>
  </w:num>
  <w:num w:numId="5" w16cid:durableId="351079843">
    <w:abstractNumId w:val="7"/>
  </w:num>
  <w:num w:numId="6" w16cid:durableId="1708217676">
    <w:abstractNumId w:val="0"/>
    <w:lvlOverride w:ilvl="0">
      <w:lvl w:ilvl="0">
        <w:numFmt w:val="upperLetter"/>
        <w:lvlText w:val="%1."/>
        <w:legacy w:legacy="1" w:legacySpace="0" w:legacyIndent="0"/>
        <w:lvlJc w:val="left"/>
        <w:rPr>
          <w:rFonts w:ascii="Times New Roman" w:eastAsia="Times New Roman" w:hAnsi="Times New Roman" w:cs="Times New Roman"/>
          <w:sz w:val="40"/>
        </w:rPr>
      </w:lvl>
    </w:lvlOverride>
  </w:num>
  <w:num w:numId="7" w16cid:durableId="252669070">
    <w:abstractNumId w:val="4"/>
  </w:num>
  <w:num w:numId="8" w16cid:durableId="1150095774">
    <w:abstractNumId w:val="19"/>
  </w:num>
  <w:num w:numId="9" w16cid:durableId="49808698">
    <w:abstractNumId w:val="32"/>
  </w:num>
  <w:num w:numId="10" w16cid:durableId="838891229">
    <w:abstractNumId w:val="14"/>
  </w:num>
  <w:num w:numId="11" w16cid:durableId="1447890064">
    <w:abstractNumId w:val="3"/>
  </w:num>
  <w:num w:numId="12" w16cid:durableId="625507104">
    <w:abstractNumId w:val="28"/>
  </w:num>
  <w:num w:numId="13" w16cid:durableId="1231042770">
    <w:abstractNumId w:val="33"/>
  </w:num>
  <w:num w:numId="14" w16cid:durableId="145711722">
    <w:abstractNumId w:val="27"/>
  </w:num>
  <w:num w:numId="15" w16cid:durableId="1110054572">
    <w:abstractNumId w:val="17"/>
  </w:num>
  <w:num w:numId="16" w16cid:durableId="1835142253">
    <w:abstractNumId w:val="38"/>
  </w:num>
  <w:num w:numId="17" w16cid:durableId="1607692031">
    <w:abstractNumId w:val="25"/>
  </w:num>
  <w:num w:numId="18" w16cid:durableId="2128771884">
    <w:abstractNumId w:val="34"/>
  </w:num>
  <w:num w:numId="19" w16cid:durableId="365372932">
    <w:abstractNumId w:val="24"/>
  </w:num>
  <w:num w:numId="20" w16cid:durableId="533737588">
    <w:abstractNumId w:val="10"/>
  </w:num>
  <w:num w:numId="21" w16cid:durableId="68970489">
    <w:abstractNumId w:val="2"/>
  </w:num>
  <w:num w:numId="22" w16cid:durableId="2146238595">
    <w:abstractNumId w:val="37"/>
  </w:num>
  <w:num w:numId="23" w16cid:durableId="1309357646">
    <w:abstractNumId w:val="13"/>
  </w:num>
  <w:num w:numId="24" w16cid:durableId="198126464">
    <w:abstractNumId w:val="30"/>
  </w:num>
  <w:num w:numId="25" w16cid:durableId="389112494">
    <w:abstractNumId w:val="26"/>
  </w:num>
  <w:num w:numId="26" w16cid:durableId="137454503">
    <w:abstractNumId w:val="11"/>
  </w:num>
  <w:num w:numId="27" w16cid:durableId="1510292761">
    <w:abstractNumId w:val="36"/>
  </w:num>
  <w:num w:numId="28" w16cid:durableId="602231842">
    <w:abstractNumId w:val="5"/>
  </w:num>
  <w:num w:numId="29" w16cid:durableId="1647315011">
    <w:abstractNumId w:val="15"/>
  </w:num>
  <w:num w:numId="30" w16cid:durableId="637538645">
    <w:abstractNumId w:val="20"/>
  </w:num>
  <w:num w:numId="31" w16cid:durableId="182548948">
    <w:abstractNumId w:val="8"/>
  </w:num>
  <w:num w:numId="32" w16cid:durableId="290208209">
    <w:abstractNumId w:val="1"/>
  </w:num>
  <w:num w:numId="33" w16cid:durableId="878392933">
    <w:abstractNumId w:val="22"/>
  </w:num>
  <w:num w:numId="34" w16cid:durableId="207187278">
    <w:abstractNumId w:val="6"/>
  </w:num>
  <w:num w:numId="35" w16cid:durableId="657658323">
    <w:abstractNumId w:val="16"/>
  </w:num>
  <w:num w:numId="36" w16cid:durableId="1914966369">
    <w:abstractNumId w:val="21"/>
  </w:num>
  <w:num w:numId="37" w16cid:durableId="1851332483">
    <w:abstractNumId w:val="23"/>
  </w:num>
  <w:num w:numId="38" w16cid:durableId="1051922572">
    <w:abstractNumId w:val="29"/>
  </w:num>
  <w:num w:numId="39" w16cid:durableId="84339941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08"/>
    <w:rsid w:val="000003E9"/>
    <w:rsid w:val="00001F35"/>
    <w:rsid w:val="00004447"/>
    <w:rsid w:val="0000724D"/>
    <w:rsid w:val="00011FD0"/>
    <w:rsid w:val="000124D4"/>
    <w:rsid w:val="000143F5"/>
    <w:rsid w:val="000145E7"/>
    <w:rsid w:val="00014D56"/>
    <w:rsid w:val="00015CAF"/>
    <w:rsid w:val="0001674E"/>
    <w:rsid w:val="0002740A"/>
    <w:rsid w:val="00031EC0"/>
    <w:rsid w:val="00032DF2"/>
    <w:rsid w:val="00032F60"/>
    <w:rsid w:val="00036339"/>
    <w:rsid w:val="00041B89"/>
    <w:rsid w:val="00046B31"/>
    <w:rsid w:val="0004734D"/>
    <w:rsid w:val="00065DCA"/>
    <w:rsid w:val="00066ADA"/>
    <w:rsid w:val="000675FF"/>
    <w:rsid w:val="00070372"/>
    <w:rsid w:val="00070816"/>
    <w:rsid w:val="00076D8A"/>
    <w:rsid w:val="00080A7C"/>
    <w:rsid w:val="000837D8"/>
    <w:rsid w:val="000935F4"/>
    <w:rsid w:val="00093856"/>
    <w:rsid w:val="00094A3E"/>
    <w:rsid w:val="00094B97"/>
    <w:rsid w:val="000A3469"/>
    <w:rsid w:val="000A3A38"/>
    <w:rsid w:val="000A4A01"/>
    <w:rsid w:val="000A4C21"/>
    <w:rsid w:val="000A4EF5"/>
    <w:rsid w:val="000A5E7C"/>
    <w:rsid w:val="000B1922"/>
    <w:rsid w:val="000B3414"/>
    <w:rsid w:val="000B4E16"/>
    <w:rsid w:val="000B4E7B"/>
    <w:rsid w:val="000C5B77"/>
    <w:rsid w:val="000C6559"/>
    <w:rsid w:val="000D4215"/>
    <w:rsid w:val="000E2B00"/>
    <w:rsid w:val="000E4414"/>
    <w:rsid w:val="000F6837"/>
    <w:rsid w:val="000F6BC1"/>
    <w:rsid w:val="001005B1"/>
    <w:rsid w:val="00100D41"/>
    <w:rsid w:val="001025EC"/>
    <w:rsid w:val="00106515"/>
    <w:rsid w:val="0010713E"/>
    <w:rsid w:val="00107E69"/>
    <w:rsid w:val="00110B88"/>
    <w:rsid w:val="00113F67"/>
    <w:rsid w:val="00120B29"/>
    <w:rsid w:val="00124A26"/>
    <w:rsid w:val="00134298"/>
    <w:rsid w:val="00137361"/>
    <w:rsid w:val="001374AC"/>
    <w:rsid w:val="00141969"/>
    <w:rsid w:val="00142C13"/>
    <w:rsid w:val="00143CA6"/>
    <w:rsid w:val="00144334"/>
    <w:rsid w:val="00145A57"/>
    <w:rsid w:val="00155027"/>
    <w:rsid w:val="001572D9"/>
    <w:rsid w:val="00162C68"/>
    <w:rsid w:val="001720B4"/>
    <w:rsid w:val="001745BE"/>
    <w:rsid w:val="0017516C"/>
    <w:rsid w:val="00177361"/>
    <w:rsid w:val="00182FBC"/>
    <w:rsid w:val="00191CB0"/>
    <w:rsid w:val="00192D3D"/>
    <w:rsid w:val="00193FA3"/>
    <w:rsid w:val="001C13D9"/>
    <w:rsid w:val="001C1FD7"/>
    <w:rsid w:val="001D4DC7"/>
    <w:rsid w:val="001E1943"/>
    <w:rsid w:val="001E4265"/>
    <w:rsid w:val="001E79F5"/>
    <w:rsid w:val="001F13D0"/>
    <w:rsid w:val="001F4976"/>
    <w:rsid w:val="002048EA"/>
    <w:rsid w:val="002105A3"/>
    <w:rsid w:val="00210DA2"/>
    <w:rsid w:val="00216F7E"/>
    <w:rsid w:val="00217522"/>
    <w:rsid w:val="0022532D"/>
    <w:rsid w:val="002309D8"/>
    <w:rsid w:val="00231EAB"/>
    <w:rsid w:val="002336D5"/>
    <w:rsid w:val="00243DF0"/>
    <w:rsid w:val="00246B58"/>
    <w:rsid w:val="00250088"/>
    <w:rsid w:val="002517A7"/>
    <w:rsid w:val="00251D73"/>
    <w:rsid w:val="00253434"/>
    <w:rsid w:val="00260F7F"/>
    <w:rsid w:val="00261FB0"/>
    <w:rsid w:val="00280EDC"/>
    <w:rsid w:val="002879C0"/>
    <w:rsid w:val="00290AD1"/>
    <w:rsid w:val="0029383E"/>
    <w:rsid w:val="00294C78"/>
    <w:rsid w:val="00295191"/>
    <w:rsid w:val="002A31CD"/>
    <w:rsid w:val="002B0AEA"/>
    <w:rsid w:val="002B12BA"/>
    <w:rsid w:val="002B3F72"/>
    <w:rsid w:val="002B5E8C"/>
    <w:rsid w:val="002B723C"/>
    <w:rsid w:val="002B7431"/>
    <w:rsid w:val="002C2B73"/>
    <w:rsid w:val="002C6A34"/>
    <w:rsid w:val="002D52E6"/>
    <w:rsid w:val="002F4902"/>
    <w:rsid w:val="00300821"/>
    <w:rsid w:val="003102FE"/>
    <w:rsid w:val="00310996"/>
    <w:rsid w:val="00311032"/>
    <w:rsid w:val="0031621F"/>
    <w:rsid w:val="00321921"/>
    <w:rsid w:val="00322204"/>
    <w:rsid w:val="00331E4B"/>
    <w:rsid w:val="0033598D"/>
    <w:rsid w:val="003376D1"/>
    <w:rsid w:val="00344CDA"/>
    <w:rsid w:val="00345E11"/>
    <w:rsid w:val="00353949"/>
    <w:rsid w:val="003563E6"/>
    <w:rsid w:val="00356742"/>
    <w:rsid w:val="00363C57"/>
    <w:rsid w:val="003654E6"/>
    <w:rsid w:val="003673D4"/>
    <w:rsid w:val="0037149F"/>
    <w:rsid w:val="00372D6D"/>
    <w:rsid w:val="0037629D"/>
    <w:rsid w:val="00377F26"/>
    <w:rsid w:val="00380681"/>
    <w:rsid w:val="00382753"/>
    <w:rsid w:val="0038404B"/>
    <w:rsid w:val="003842EB"/>
    <w:rsid w:val="00384D65"/>
    <w:rsid w:val="00385AFF"/>
    <w:rsid w:val="0039113B"/>
    <w:rsid w:val="0039396C"/>
    <w:rsid w:val="00394BD0"/>
    <w:rsid w:val="00396098"/>
    <w:rsid w:val="003A0F88"/>
    <w:rsid w:val="003A5FD7"/>
    <w:rsid w:val="003B2EAF"/>
    <w:rsid w:val="003B3BDD"/>
    <w:rsid w:val="003B482C"/>
    <w:rsid w:val="003B5262"/>
    <w:rsid w:val="003B559B"/>
    <w:rsid w:val="003B5C66"/>
    <w:rsid w:val="003B6E47"/>
    <w:rsid w:val="003B6F81"/>
    <w:rsid w:val="003B7030"/>
    <w:rsid w:val="003C0A0F"/>
    <w:rsid w:val="003D7759"/>
    <w:rsid w:val="003E4B56"/>
    <w:rsid w:val="003E6040"/>
    <w:rsid w:val="003E6DAE"/>
    <w:rsid w:val="003F043B"/>
    <w:rsid w:val="003F25EF"/>
    <w:rsid w:val="00403C4B"/>
    <w:rsid w:val="00404EA3"/>
    <w:rsid w:val="004077E5"/>
    <w:rsid w:val="00413342"/>
    <w:rsid w:val="00422605"/>
    <w:rsid w:val="00426CB0"/>
    <w:rsid w:val="0043098E"/>
    <w:rsid w:val="004348BA"/>
    <w:rsid w:val="00440E9B"/>
    <w:rsid w:val="00442FA5"/>
    <w:rsid w:val="00447FD9"/>
    <w:rsid w:val="00452B0E"/>
    <w:rsid w:val="00454533"/>
    <w:rsid w:val="0045621B"/>
    <w:rsid w:val="00456903"/>
    <w:rsid w:val="00473748"/>
    <w:rsid w:val="004766AF"/>
    <w:rsid w:val="00486515"/>
    <w:rsid w:val="004A00B9"/>
    <w:rsid w:val="004A056A"/>
    <w:rsid w:val="004A1719"/>
    <w:rsid w:val="004A22DA"/>
    <w:rsid w:val="004A36DD"/>
    <w:rsid w:val="004A51D0"/>
    <w:rsid w:val="004B3032"/>
    <w:rsid w:val="004B362C"/>
    <w:rsid w:val="004B4008"/>
    <w:rsid w:val="004B5DBB"/>
    <w:rsid w:val="004B74C5"/>
    <w:rsid w:val="004B7A5B"/>
    <w:rsid w:val="004C0341"/>
    <w:rsid w:val="004C0457"/>
    <w:rsid w:val="004C0490"/>
    <w:rsid w:val="004C10E9"/>
    <w:rsid w:val="004D1EE0"/>
    <w:rsid w:val="004D35B9"/>
    <w:rsid w:val="004D4DF5"/>
    <w:rsid w:val="004D4E2C"/>
    <w:rsid w:val="004E23BD"/>
    <w:rsid w:val="004F651E"/>
    <w:rsid w:val="0050170E"/>
    <w:rsid w:val="00504333"/>
    <w:rsid w:val="005070E3"/>
    <w:rsid w:val="00513217"/>
    <w:rsid w:val="0053099C"/>
    <w:rsid w:val="00531315"/>
    <w:rsid w:val="00532361"/>
    <w:rsid w:val="005353A0"/>
    <w:rsid w:val="00535C6E"/>
    <w:rsid w:val="00536571"/>
    <w:rsid w:val="005469B3"/>
    <w:rsid w:val="00547F9C"/>
    <w:rsid w:val="00550DAD"/>
    <w:rsid w:val="005526A0"/>
    <w:rsid w:val="00554D5C"/>
    <w:rsid w:val="005554F0"/>
    <w:rsid w:val="005619AE"/>
    <w:rsid w:val="00563BF3"/>
    <w:rsid w:val="00563C90"/>
    <w:rsid w:val="00567977"/>
    <w:rsid w:val="00573BF2"/>
    <w:rsid w:val="00575B8A"/>
    <w:rsid w:val="00584AB2"/>
    <w:rsid w:val="0058658E"/>
    <w:rsid w:val="00587CE6"/>
    <w:rsid w:val="005914BF"/>
    <w:rsid w:val="005A2D9A"/>
    <w:rsid w:val="005A3A5A"/>
    <w:rsid w:val="005A4182"/>
    <w:rsid w:val="005A4434"/>
    <w:rsid w:val="005A7C7C"/>
    <w:rsid w:val="005B1669"/>
    <w:rsid w:val="005B4EEF"/>
    <w:rsid w:val="005B4EFA"/>
    <w:rsid w:val="005C0511"/>
    <w:rsid w:val="005C08FC"/>
    <w:rsid w:val="005D7477"/>
    <w:rsid w:val="005E1374"/>
    <w:rsid w:val="005E2530"/>
    <w:rsid w:val="005E35FD"/>
    <w:rsid w:val="005F18B1"/>
    <w:rsid w:val="005F78D0"/>
    <w:rsid w:val="00600691"/>
    <w:rsid w:val="00600B5F"/>
    <w:rsid w:val="00604308"/>
    <w:rsid w:val="00613E34"/>
    <w:rsid w:val="006157D5"/>
    <w:rsid w:val="00616F12"/>
    <w:rsid w:val="006176B1"/>
    <w:rsid w:val="00621A72"/>
    <w:rsid w:val="00634C42"/>
    <w:rsid w:val="00635A99"/>
    <w:rsid w:val="0065116D"/>
    <w:rsid w:val="0065188E"/>
    <w:rsid w:val="00672F3C"/>
    <w:rsid w:val="0067721B"/>
    <w:rsid w:val="00681D5C"/>
    <w:rsid w:val="0068478E"/>
    <w:rsid w:val="00695417"/>
    <w:rsid w:val="00695797"/>
    <w:rsid w:val="00696704"/>
    <w:rsid w:val="006A2A05"/>
    <w:rsid w:val="006A332E"/>
    <w:rsid w:val="006A61AB"/>
    <w:rsid w:val="006A679A"/>
    <w:rsid w:val="006A77A1"/>
    <w:rsid w:val="006A7CDE"/>
    <w:rsid w:val="006B584E"/>
    <w:rsid w:val="006C1E20"/>
    <w:rsid w:val="006C1E68"/>
    <w:rsid w:val="006C6E71"/>
    <w:rsid w:val="006D1E1B"/>
    <w:rsid w:val="006E1F79"/>
    <w:rsid w:val="006E3AD0"/>
    <w:rsid w:val="006E6410"/>
    <w:rsid w:val="006F5074"/>
    <w:rsid w:val="006F77BE"/>
    <w:rsid w:val="00705A27"/>
    <w:rsid w:val="007074CE"/>
    <w:rsid w:val="007131D3"/>
    <w:rsid w:val="0071754A"/>
    <w:rsid w:val="00721417"/>
    <w:rsid w:val="007230AE"/>
    <w:rsid w:val="00724D6D"/>
    <w:rsid w:val="007259F8"/>
    <w:rsid w:val="00732271"/>
    <w:rsid w:val="007351E6"/>
    <w:rsid w:val="007367B6"/>
    <w:rsid w:val="00737B3A"/>
    <w:rsid w:val="007433B0"/>
    <w:rsid w:val="00744823"/>
    <w:rsid w:val="00745BA6"/>
    <w:rsid w:val="00750536"/>
    <w:rsid w:val="007558B8"/>
    <w:rsid w:val="0076461E"/>
    <w:rsid w:val="0076535A"/>
    <w:rsid w:val="00767E6E"/>
    <w:rsid w:val="00771E6C"/>
    <w:rsid w:val="007742A6"/>
    <w:rsid w:val="007745F8"/>
    <w:rsid w:val="0078230F"/>
    <w:rsid w:val="00783526"/>
    <w:rsid w:val="00785FB8"/>
    <w:rsid w:val="0078673F"/>
    <w:rsid w:val="00786818"/>
    <w:rsid w:val="0079268B"/>
    <w:rsid w:val="007A2A53"/>
    <w:rsid w:val="007A54C7"/>
    <w:rsid w:val="007B071F"/>
    <w:rsid w:val="007B2330"/>
    <w:rsid w:val="007B4666"/>
    <w:rsid w:val="007B6296"/>
    <w:rsid w:val="007C023D"/>
    <w:rsid w:val="007C101E"/>
    <w:rsid w:val="007C47B7"/>
    <w:rsid w:val="007C711D"/>
    <w:rsid w:val="007D44F6"/>
    <w:rsid w:val="007D75D0"/>
    <w:rsid w:val="007E0525"/>
    <w:rsid w:val="007E2A0E"/>
    <w:rsid w:val="007E3C38"/>
    <w:rsid w:val="007E597F"/>
    <w:rsid w:val="007F4C26"/>
    <w:rsid w:val="00803E08"/>
    <w:rsid w:val="00804DFD"/>
    <w:rsid w:val="00807CDE"/>
    <w:rsid w:val="008112F0"/>
    <w:rsid w:val="00814D74"/>
    <w:rsid w:val="00821270"/>
    <w:rsid w:val="008334C7"/>
    <w:rsid w:val="008356C5"/>
    <w:rsid w:val="00835D1D"/>
    <w:rsid w:val="00840980"/>
    <w:rsid w:val="00843456"/>
    <w:rsid w:val="00845005"/>
    <w:rsid w:val="00845AF5"/>
    <w:rsid w:val="00845D76"/>
    <w:rsid w:val="00846E62"/>
    <w:rsid w:val="008552AF"/>
    <w:rsid w:val="008615CC"/>
    <w:rsid w:val="00871328"/>
    <w:rsid w:val="00873EC5"/>
    <w:rsid w:val="00875641"/>
    <w:rsid w:val="00876512"/>
    <w:rsid w:val="00880012"/>
    <w:rsid w:val="00880647"/>
    <w:rsid w:val="00882D54"/>
    <w:rsid w:val="00892DD2"/>
    <w:rsid w:val="008A42F8"/>
    <w:rsid w:val="008A6F13"/>
    <w:rsid w:val="008B6148"/>
    <w:rsid w:val="008C57A7"/>
    <w:rsid w:val="008D0156"/>
    <w:rsid w:val="008D2066"/>
    <w:rsid w:val="008D46AA"/>
    <w:rsid w:val="008D4F02"/>
    <w:rsid w:val="008E1A29"/>
    <w:rsid w:val="008E34FF"/>
    <w:rsid w:val="008E41F5"/>
    <w:rsid w:val="0090088A"/>
    <w:rsid w:val="00901616"/>
    <w:rsid w:val="00901A7D"/>
    <w:rsid w:val="00902F03"/>
    <w:rsid w:val="00915C7A"/>
    <w:rsid w:val="009166CD"/>
    <w:rsid w:val="00921136"/>
    <w:rsid w:val="00922D71"/>
    <w:rsid w:val="00932840"/>
    <w:rsid w:val="0093351E"/>
    <w:rsid w:val="009343C6"/>
    <w:rsid w:val="00956165"/>
    <w:rsid w:val="00956DC7"/>
    <w:rsid w:val="00963E31"/>
    <w:rsid w:val="009642C4"/>
    <w:rsid w:val="00976B49"/>
    <w:rsid w:val="00977377"/>
    <w:rsid w:val="00980ED3"/>
    <w:rsid w:val="00990692"/>
    <w:rsid w:val="0099091A"/>
    <w:rsid w:val="00995433"/>
    <w:rsid w:val="009A0860"/>
    <w:rsid w:val="009A1160"/>
    <w:rsid w:val="009A5BD2"/>
    <w:rsid w:val="009A6CA9"/>
    <w:rsid w:val="009B0B4B"/>
    <w:rsid w:val="009C2200"/>
    <w:rsid w:val="009C4E22"/>
    <w:rsid w:val="009C4ECB"/>
    <w:rsid w:val="009C7AC0"/>
    <w:rsid w:val="009D0D1E"/>
    <w:rsid w:val="009D263B"/>
    <w:rsid w:val="009E0C27"/>
    <w:rsid w:val="009E5871"/>
    <w:rsid w:val="009F4571"/>
    <w:rsid w:val="009F76E8"/>
    <w:rsid w:val="00A0215D"/>
    <w:rsid w:val="00A021D5"/>
    <w:rsid w:val="00A02A80"/>
    <w:rsid w:val="00A034CF"/>
    <w:rsid w:val="00A04E64"/>
    <w:rsid w:val="00A15A3E"/>
    <w:rsid w:val="00A16BA1"/>
    <w:rsid w:val="00A17096"/>
    <w:rsid w:val="00A2225A"/>
    <w:rsid w:val="00A22642"/>
    <w:rsid w:val="00A26D2F"/>
    <w:rsid w:val="00A31126"/>
    <w:rsid w:val="00A348A1"/>
    <w:rsid w:val="00A34F8A"/>
    <w:rsid w:val="00A3653E"/>
    <w:rsid w:val="00A37663"/>
    <w:rsid w:val="00A4064B"/>
    <w:rsid w:val="00A42011"/>
    <w:rsid w:val="00A5126D"/>
    <w:rsid w:val="00A512E7"/>
    <w:rsid w:val="00A51C8D"/>
    <w:rsid w:val="00A661E8"/>
    <w:rsid w:val="00A66337"/>
    <w:rsid w:val="00A67242"/>
    <w:rsid w:val="00A67323"/>
    <w:rsid w:val="00A7039C"/>
    <w:rsid w:val="00A71990"/>
    <w:rsid w:val="00A73029"/>
    <w:rsid w:val="00A74E79"/>
    <w:rsid w:val="00A776D9"/>
    <w:rsid w:val="00A80B7E"/>
    <w:rsid w:val="00A950C3"/>
    <w:rsid w:val="00AA33BE"/>
    <w:rsid w:val="00AA4A12"/>
    <w:rsid w:val="00AB2891"/>
    <w:rsid w:val="00AB2A1D"/>
    <w:rsid w:val="00AD2005"/>
    <w:rsid w:val="00AD4BB9"/>
    <w:rsid w:val="00AD4E89"/>
    <w:rsid w:val="00AD57DF"/>
    <w:rsid w:val="00AE2C59"/>
    <w:rsid w:val="00AE2FC1"/>
    <w:rsid w:val="00AE458E"/>
    <w:rsid w:val="00AF01C3"/>
    <w:rsid w:val="00AF1970"/>
    <w:rsid w:val="00B01617"/>
    <w:rsid w:val="00B06B0A"/>
    <w:rsid w:val="00B06C75"/>
    <w:rsid w:val="00B07654"/>
    <w:rsid w:val="00B10715"/>
    <w:rsid w:val="00B13245"/>
    <w:rsid w:val="00B13B7A"/>
    <w:rsid w:val="00B14306"/>
    <w:rsid w:val="00B179A4"/>
    <w:rsid w:val="00B26409"/>
    <w:rsid w:val="00B26F4C"/>
    <w:rsid w:val="00B30523"/>
    <w:rsid w:val="00B30E1C"/>
    <w:rsid w:val="00B356F3"/>
    <w:rsid w:val="00B42B76"/>
    <w:rsid w:val="00B449A1"/>
    <w:rsid w:val="00B4564F"/>
    <w:rsid w:val="00B50C92"/>
    <w:rsid w:val="00B53C5C"/>
    <w:rsid w:val="00B549C2"/>
    <w:rsid w:val="00B56579"/>
    <w:rsid w:val="00B57AB5"/>
    <w:rsid w:val="00B57E78"/>
    <w:rsid w:val="00B644EA"/>
    <w:rsid w:val="00B71234"/>
    <w:rsid w:val="00B73499"/>
    <w:rsid w:val="00B737E4"/>
    <w:rsid w:val="00B77186"/>
    <w:rsid w:val="00B7751C"/>
    <w:rsid w:val="00B77A26"/>
    <w:rsid w:val="00B81BBC"/>
    <w:rsid w:val="00B9036B"/>
    <w:rsid w:val="00B91C3C"/>
    <w:rsid w:val="00B92B65"/>
    <w:rsid w:val="00B92BA2"/>
    <w:rsid w:val="00B94043"/>
    <w:rsid w:val="00B95483"/>
    <w:rsid w:val="00B95E72"/>
    <w:rsid w:val="00B95ED0"/>
    <w:rsid w:val="00B97742"/>
    <w:rsid w:val="00BA0DA8"/>
    <w:rsid w:val="00BA1883"/>
    <w:rsid w:val="00BB09B2"/>
    <w:rsid w:val="00BB2596"/>
    <w:rsid w:val="00BB25EE"/>
    <w:rsid w:val="00BB2C41"/>
    <w:rsid w:val="00BB543B"/>
    <w:rsid w:val="00BB5948"/>
    <w:rsid w:val="00BC0632"/>
    <w:rsid w:val="00BC0CEA"/>
    <w:rsid w:val="00BC4580"/>
    <w:rsid w:val="00BC65AC"/>
    <w:rsid w:val="00BD7066"/>
    <w:rsid w:val="00BF1811"/>
    <w:rsid w:val="00BF1D91"/>
    <w:rsid w:val="00BF3242"/>
    <w:rsid w:val="00BF3645"/>
    <w:rsid w:val="00BF3792"/>
    <w:rsid w:val="00BF7D4D"/>
    <w:rsid w:val="00C00A95"/>
    <w:rsid w:val="00C0142C"/>
    <w:rsid w:val="00C05A07"/>
    <w:rsid w:val="00C05C9B"/>
    <w:rsid w:val="00C06374"/>
    <w:rsid w:val="00C15BE6"/>
    <w:rsid w:val="00C167AA"/>
    <w:rsid w:val="00C2066B"/>
    <w:rsid w:val="00C2279F"/>
    <w:rsid w:val="00C30CAA"/>
    <w:rsid w:val="00C31C00"/>
    <w:rsid w:val="00C3740E"/>
    <w:rsid w:val="00C4573B"/>
    <w:rsid w:val="00C45E0F"/>
    <w:rsid w:val="00C46E2D"/>
    <w:rsid w:val="00C55DDD"/>
    <w:rsid w:val="00C570EA"/>
    <w:rsid w:val="00C61628"/>
    <w:rsid w:val="00C62153"/>
    <w:rsid w:val="00C63795"/>
    <w:rsid w:val="00C72291"/>
    <w:rsid w:val="00C84D41"/>
    <w:rsid w:val="00C86820"/>
    <w:rsid w:val="00C8762D"/>
    <w:rsid w:val="00CA09FB"/>
    <w:rsid w:val="00CA49BF"/>
    <w:rsid w:val="00CA7783"/>
    <w:rsid w:val="00CB0D7E"/>
    <w:rsid w:val="00CB187B"/>
    <w:rsid w:val="00CB3190"/>
    <w:rsid w:val="00CB48AB"/>
    <w:rsid w:val="00CB5B17"/>
    <w:rsid w:val="00CB7064"/>
    <w:rsid w:val="00CB75FF"/>
    <w:rsid w:val="00CC0672"/>
    <w:rsid w:val="00CC4A30"/>
    <w:rsid w:val="00CC7DEF"/>
    <w:rsid w:val="00CD29F5"/>
    <w:rsid w:val="00CD48DB"/>
    <w:rsid w:val="00CD55F5"/>
    <w:rsid w:val="00CD56BD"/>
    <w:rsid w:val="00CD653E"/>
    <w:rsid w:val="00CD694F"/>
    <w:rsid w:val="00CE0020"/>
    <w:rsid w:val="00CE0C6C"/>
    <w:rsid w:val="00CE1A97"/>
    <w:rsid w:val="00CE62E8"/>
    <w:rsid w:val="00CE64F6"/>
    <w:rsid w:val="00CF0234"/>
    <w:rsid w:val="00CF247B"/>
    <w:rsid w:val="00CF3AB8"/>
    <w:rsid w:val="00CF5BBA"/>
    <w:rsid w:val="00D02476"/>
    <w:rsid w:val="00D027A7"/>
    <w:rsid w:val="00D04040"/>
    <w:rsid w:val="00D05614"/>
    <w:rsid w:val="00D07CA1"/>
    <w:rsid w:val="00D12D36"/>
    <w:rsid w:val="00D12E00"/>
    <w:rsid w:val="00D14F2E"/>
    <w:rsid w:val="00D17D9A"/>
    <w:rsid w:val="00D23337"/>
    <w:rsid w:val="00D2371F"/>
    <w:rsid w:val="00D23EE3"/>
    <w:rsid w:val="00D25C90"/>
    <w:rsid w:val="00D27D2C"/>
    <w:rsid w:val="00D27E66"/>
    <w:rsid w:val="00D32D8F"/>
    <w:rsid w:val="00D339B6"/>
    <w:rsid w:val="00D37677"/>
    <w:rsid w:val="00D50321"/>
    <w:rsid w:val="00D50650"/>
    <w:rsid w:val="00D516DC"/>
    <w:rsid w:val="00D52D0E"/>
    <w:rsid w:val="00D60235"/>
    <w:rsid w:val="00D64B74"/>
    <w:rsid w:val="00D65B01"/>
    <w:rsid w:val="00D70887"/>
    <w:rsid w:val="00D72EE6"/>
    <w:rsid w:val="00D7307C"/>
    <w:rsid w:val="00D73912"/>
    <w:rsid w:val="00D7561A"/>
    <w:rsid w:val="00D83B77"/>
    <w:rsid w:val="00D909F3"/>
    <w:rsid w:val="00D90B26"/>
    <w:rsid w:val="00DA037E"/>
    <w:rsid w:val="00DA0F2E"/>
    <w:rsid w:val="00DA7B29"/>
    <w:rsid w:val="00DB00DD"/>
    <w:rsid w:val="00DB201C"/>
    <w:rsid w:val="00DB2A09"/>
    <w:rsid w:val="00DB2B4E"/>
    <w:rsid w:val="00DB5131"/>
    <w:rsid w:val="00DC338A"/>
    <w:rsid w:val="00DC34EB"/>
    <w:rsid w:val="00DC3DBC"/>
    <w:rsid w:val="00DC60F7"/>
    <w:rsid w:val="00DD1E6E"/>
    <w:rsid w:val="00DD4D97"/>
    <w:rsid w:val="00DD56D7"/>
    <w:rsid w:val="00DD68BF"/>
    <w:rsid w:val="00DD6950"/>
    <w:rsid w:val="00DE00A4"/>
    <w:rsid w:val="00DE3D6F"/>
    <w:rsid w:val="00DE5F63"/>
    <w:rsid w:val="00DF1F9B"/>
    <w:rsid w:val="00DF7421"/>
    <w:rsid w:val="00E03B9D"/>
    <w:rsid w:val="00E06100"/>
    <w:rsid w:val="00E1203B"/>
    <w:rsid w:val="00E13B33"/>
    <w:rsid w:val="00E2431A"/>
    <w:rsid w:val="00E24444"/>
    <w:rsid w:val="00E27C2D"/>
    <w:rsid w:val="00E32E42"/>
    <w:rsid w:val="00E33A8D"/>
    <w:rsid w:val="00E3516D"/>
    <w:rsid w:val="00E40F2D"/>
    <w:rsid w:val="00E4749E"/>
    <w:rsid w:val="00E55D27"/>
    <w:rsid w:val="00E55EAE"/>
    <w:rsid w:val="00E6422F"/>
    <w:rsid w:val="00E64803"/>
    <w:rsid w:val="00E656C4"/>
    <w:rsid w:val="00E65BD5"/>
    <w:rsid w:val="00E65C1E"/>
    <w:rsid w:val="00E7450E"/>
    <w:rsid w:val="00E7521D"/>
    <w:rsid w:val="00E77F02"/>
    <w:rsid w:val="00E8073A"/>
    <w:rsid w:val="00E8693C"/>
    <w:rsid w:val="00E91A57"/>
    <w:rsid w:val="00E91E28"/>
    <w:rsid w:val="00E926CB"/>
    <w:rsid w:val="00E96CCA"/>
    <w:rsid w:val="00EA6D3B"/>
    <w:rsid w:val="00EB144C"/>
    <w:rsid w:val="00EB57E6"/>
    <w:rsid w:val="00EB76D1"/>
    <w:rsid w:val="00EB7F5A"/>
    <w:rsid w:val="00EC0D7A"/>
    <w:rsid w:val="00EC76AC"/>
    <w:rsid w:val="00ED05F1"/>
    <w:rsid w:val="00ED0F9C"/>
    <w:rsid w:val="00ED2C37"/>
    <w:rsid w:val="00ED32D8"/>
    <w:rsid w:val="00EE5B30"/>
    <w:rsid w:val="00EF460A"/>
    <w:rsid w:val="00EF47BB"/>
    <w:rsid w:val="00EF5B10"/>
    <w:rsid w:val="00EF6241"/>
    <w:rsid w:val="00F05BEA"/>
    <w:rsid w:val="00F069B8"/>
    <w:rsid w:val="00F11A86"/>
    <w:rsid w:val="00F12300"/>
    <w:rsid w:val="00F21B82"/>
    <w:rsid w:val="00F2553C"/>
    <w:rsid w:val="00F27B3E"/>
    <w:rsid w:val="00F302F6"/>
    <w:rsid w:val="00F3033A"/>
    <w:rsid w:val="00F340C5"/>
    <w:rsid w:val="00F45507"/>
    <w:rsid w:val="00F4606A"/>
    <w:rsid w:val="00F46504"/>
    <w:rsid w:val="00F52C55"/>
    <w:rsid w:val="00F55933"/>
    <w:rsid w:val="00F60B20"/>
    <w:rsid w:val="00F61E42"/>
    <w:rsid w:val="00F630F0"/>
    <w:rsid w:val="00F644F4"/>
    <w:rsid w:val="00F66F8C"/>
    <w:rsid w:val="00F67019"/>
    <w:rsid w:val="00F73228"/>
    <w:rsid w:val="00F737D1"/>
    <w:rsid w:val="00F745F4"/>
    <w:rsid w:val="00F7495E"/>
    <w:rsid w:val="00F76C23"/>
    <w:rsid w:val="00F8071C"/>
    <w:rsid w:val="00F85BFC"/>
    <w:rsid w:val="00F90FE5"/>
    <w:rsid w:val="00F92A28"/>
    <w:rsid w:val="00F95647"/>
    <w:rsid w:val="00F95D33"/>
    <w:rsid w:val="00FA37C5"/>
    <w:rsid w:val="00FA4FBC"/>
    <w:rsid w:val="00FB186A"/>
    <w:rsid w:val="00FB43F6"/>
    <w:rsid w:val="00FB47C1"/>
    <w:rsid w:val="00FC0E92"/>
    <w:rsid w:val="00FC6ADA"/>
    <w:rsid w:val="00FD3282"/>
    <w:rsid w:val="00FE4963"/>
    <w:rsid w:val="00FE7284"/>
    <w:rsid w:val="00FF0607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F3BE35"/>
  <w15:chartTrackingRefBased/>
  <w15:docId w15:val="{61274BE7-B103-BC44-8AA5-A3F71474F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5E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pPr>
      <w:keepNext/>
      <w:tabs>
        <w:tab w:val="left" w:pos="2340"/>
        <w:tab w:val="left" w:pos="4320"/>
        <w:tab w:val="left" w:pos="6660"/>
      </w:tabs>
      <w:outlineLvl w:val="2"/>
    </w:pPr>
    <w:rPr>
      <w:sz w:val="20"/>
      <w:u w:val="single"/>
    </w:rPr>
  </w:style>
  <w:style w:type="paragraph" w:styleId="Ttulo4">
    <w:name w:val="heading 4"/>
    <w:basedOn w:val="Normal"/>
    <w:next w:val="Normal"/>
    <w:qFormat/>
    <w:rsid w:val="00192D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Pr>
      <w:sz w:val="22"/>
    </w:rPr>
  </w:style>
  <w:style w:type="character" w:styleId="Hyperlink">
    <w:name w:val="Hyperlink"/>
    <w:rPr>
      <w:color w:val="0000FF"/>
      <w:u w:val="single"/>
    </w:rPr>
  </w:style>
  <w:style w:type="paragraph" w:styleId="Corpodetexto2">
    <w:name w:val="Body Text 2"/>
    <w:basedOn w:val="Normal"/>
    <w:pPr>
      <w:tabs>
        <w:tab w:val="left" w:pos="2520"/>
        <w:tab w:val="left" w:pos="4680"/>
        <w:tab w:val="left" w:pos="6840"/>
      </w:tabs>
    </w:pPr>
    <w:rPr>
      <w:sz w:val="20"/>
    </w:rPr>
  </w:style>
  <w:style w:type="character" w:styleId="HiperlinkVisitado">
    <w:name w:val="FollowedHyperlink"/>
    <w:rPr>
      <w:color w:val="800080"/>
      <w:u w:val="single"/>
    </w:rPr>
  </w:style>
  <w:style w:type="paragraph" w:styleId="Textodenotaderodap">
    <w:name w:val="footnote text"/>
    <w:basedOn w:val="Normal"/>
    <w:semiHidden/>
    <w:rsid w:val="00CB5B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Roman" w:hAnsi="Times Roman"/>
      <w:szCs w:val="20"/>
    </w:rPr>
  </w:style>
  <w:style w:type="character" w:styleId="Refdenotaderodap">
    <w:name w:val="footnote reference"/>
    <w:semiHidden/>
    <w:rsid w:val="00CB5B17"/>
    <w:rPr>
      <w:vertAlign w:val="superscript"/>
    </w:rPr>
  </w:style>
  <w:style w:type="paragraph" w:customStyle="1" w:styleId="paragraph">
    <w:name w:val="paragraph"/>
    <w:basedOn w:val="Normal"/>
    <w:rsid w:val="00513217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styleId="NormalWeb">
    <w:name w:val="Normal (Web)"/>
    <w:basedOn w:val="Normal"/>
    <w:rsid w:val="00513217"/>
    <w:pPr>
      <w:spacing w:before="100" w:beforeAutospacing="1" w:after="100" w:afterAutospacing="1"/>
    </w:pPr>
    <w:rPr>
      <w:color w:val="000000"/>
    </w:rPr>
  </w:style>
  <w:style w:type="character" w:customStyle="1" w:styleId="paragraph1">
    <w:name w:val="paragraph1"/>
    <w:rsid w:val="00513217"/>
    <w:rPr>
      <w:rFonts w:ascii="Arial" w:hAnsi="Arial" w:cs="Arial" w:hint="default"/>
      <w:sz w:val="14"/>
      <w:szCs w:val="14"/>
    </w:rPr>
  </w:style>
  <w:style w:type="paragraph" w:styleId="Legenda">
    <w:name w:val="caption"/>
    <w:basedOn w:val="Normal"/>
    <w:next w:val="Normal"/>
    <w:qFormat/>
    <w:rsid w:val="003E6DAE"/>
    <w:rPr>
      <w:b/>
      <w:bCs/>
      <w:sz w:val="20"/>
      <w:szCs w:val="20"/>
    </w:rPr>
  </w:style>
  <w:style w:type="paragraph" w:styleId="Recuodecorpodetexto2">
    <w:name w:val="Body Text Indent 2"/>
    <w:basedOn w:val="Normal"/>
    <w:rsid w:val="003E6DAE"/>
    <w:pPr>
      <w:widowControl w:val="0"/>
      <w:autoSpaceDE w:val="0"/>
      <w:autoSpaceDN w:val="0"/>
      <w:adjustRightInd w:val="0"/>
      <w:spacing w:after="120" w:line="480" w:lineRule="auto"/>
      <w:ind w:left="360"/>
    </w:pPr>
  </w:style>
  <w:style w:type="table" w:styleId="Tabelacomgrade">
    <w:name w:val="Table Grid"/>
    <w:basedOn w:val="Tabelanormal"/>
    <w:rsid w:val="00A31126"/>
    <w:pPr>
      <w:spacing w:line="48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rsid w:val="00F2553C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F2553C"/>
    <w:pPr>
      <w:tabs>
        <w:tab w:val="center" w:pos="4320"/>
        <w:tab w:val="right" w:pos="8640"/>
      </w:tabs>
    </w:pPr>
  </w:style>
  <w:style w:type="character" w:styleId="Nmerodepgina">
    <w:name w:val="page number"/>
    <w:basedOn w:val="Fontepargpadro"/>
    <w:rsid w:val="00F2553C"/>
  </w:style>
  <w:style w:type="paragraph" w:styleId="Textodebalo">
    <w:name w:val="Balloon Text"/>
    <w:basedOn w:val="Normal"/>
    <w:semiHidden/>
    <w:rsid w:val="000145E7"/>
    <w:rPr>
      <w:rFonts w:ascii="Tahoma" w:hAnsi="Tahoma" w:cs="Tahoma"/>
      <w:sz w:val="16"/>
      <w:szCs w:val="16"/>
    </w:rPr>
  </w:style>
  <w:style w:type="character" w:styleId="Refdecomentrio">
    <w:name w:val="annotation reference"/>
    <w:semiHidden/>
    <w:rsid w:val="007351E6"/>
    <w:rPr>
      <w:sz w:val="16"/>
      <w:szCs w:val="16"/>
    </w:rPr>
  </w:style>
  <w:style w:type="paragraph" w:styleId="Textodecomentrio">
    <w:name w:val="annotation text"/>
    <w:basedOn w:val="Normal"/>
    <w:semiHidden/>
    <w:rsid w:val="007351E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semiHidden/>
    <w:rsid w:val="007351E6"/>
    <w:rPr>
      <w:b/>
      <w:bCs/>
    </w:rPr>
  </w:style>
  <w:style w:type="paragraph" w:styleId="TextosemFormatao">
    <w:name w:val="Plain Text"/>
    <w:basedOn w:val="Normal"/>
    <w:rsid w:val="00871328"/>
    <w:rPr>
      <w:rFonts w:ascii="Courier New" w:hAnsi="Courier New" w:cs="Courier New"/>
      <w:sz w:val="20"/>
      <w:szCs w:val="20"/>
    </w:rPr>
  </w:style>
  <w:style w:type="paragraph" w:styleId="Corpodetexto3">
    <w:name w:val="Body Text 3"/>
    <w:basedOn w:val="Normal"/>
    <w:rsid w:val="00192D3D"/>
    <w:pPr>
      <w:spacing w:after="120"/>
    </w:pPr>
    <w:rPr>
      <w:sz w:val="16"/>
      <w:szCs w:val="16"/>
    </w:rPr>
  </w:style>
  <w:style w:type="paragraph" w:customStyle="1" w:styleId="stylebodyfirstline0">
    <w:name w:val="stylebodyfirstline0"/>
    <w:basedOn w:val="Normal"/>
    <w:rsid w:val="00E32E42"/>
    <w:pPr>
      <w:spacing w:before="100" w:beforeAutospacing="1" w:after="100" w:afterAutospacing="1"/>
    </w:pPr>
  </w:style>
  <w:style w:type="character" w:styleId="MenoPendente">
    <w:name w:val="Unresolved Mention"/>
    <w:uiPriority w:val="99"/>
    <w:semiHidden/>
    <w:unhideWhenUsed/>
    <w:rsid w:val="00162C68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BD706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4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4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ABSTRACT</vt:lpstr>
    </vt:vector>
  </TitlesOfParts>
  <Company>Freese and Nichols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ABSTRACT</dc:title>
  <dc:subject/>
  <dc:creator>John S. Wolfhope</dc:creator>
  <cp:keywords/>
  <dc:description/>
  <cp:lastModifiedBy>Oliveira, Thiago - Araxa, MG</cp:lastModifiedBy>
  <cp:revision>3</cp:revision>
  <cp:lastPrinted>2025-08-10T23:03:00Z</cp:lastPrinted>
  <dcterms:created xsi:type="dcterms:W3CDTF">2025-10-13T10:49:00Z</dcterms:created>
  <dcterms:modified xsi:type="dcterms:W3CDTF">2025-10-13T10:58:00Z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7cc6f33c-1fab-41f7-b225-8300dc88aafe</vt:lpwstr>
  </property>
</Properties>
</file>